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8F60" w14:textId="57038FB7" w:rsidR="003C7F92" w:rsidRPr="00D60633" w:rsidRDefault="003C7F92" w:rsidP="00D6063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D60633">
        <w:rPr>
          <w:rFonts w:asciiTheme="majorBidi" w:hAnsiTheme="majorBidi" w:cstheme="majorBidi"/>
          <w:b/>
          <w:bCs/>
          <w:sz w:val="24"/>
          <w:szCs w:val="24"/>
          <w:lang w:val="ru-RU"/>
        </w:rPr>
        <w:t>Уведомление о</w:t>
      </w:r>
      <w:r w:rsidRPr="00D60633">
        <w:rPr>
          <w:rFonts w:asciiTheme="majorBidi" w:hAnsiTheme="majorBidi" w:cstheme="majorBidi"/>
          <w:b/>
          <w:bCs/>
          <w:sz w:val="24"/>
          <w:szCs w:val="24"/>
          <w:lang w:val="ru-RU"/>
        </w:rPr>
        <w:t>б инициировании</w:t>
      </w:r>
      <w:r w:rsidRPr="00D6063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D6063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процедуры </w:t>
      </w:r>
      <w:r w:rsidRPr="00D60633">
        <w:rPr>
          <w:rFonts w:asciiTheme="majorBidi" w:hAnsiTheme="majorBidi" w:cstheme="majorBidi"/>
          <w:b/>
          <w:bCs/>
          <w:sz w:val="24"/>
          <w:szCs w:val="24"/>
          <w:lang w:val="ru-RU"/>
        </w:rPr>
        <w:t>оценки воздействия на окружающую среду</w:t>
      </w:r>
    </w:p>
    <w:p w14:paraId="1A3A616F" w14:textId="77777777" w:rsidR="00D60633" w:rsidRDefault="00D60633" w:rsidP="00D606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BBB7666" w14:textId="5D4AD0D5" w:rsidR="003C7F92" w:rsidRPr="00F4764E" w:rsidRDefault="003C7F92" w:rsidP="00D606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На основании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частей 1 и 3 статьи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12 «Закона об оценке воздействия на окружающую среду и системе управления окружающей средой» </w:t>
      </w:r>
      <w:proofErr w:type="spellStart"/>
      <w:r w:rsidR="000043E3"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илламяэская</w:t>
      </w:r>
      <w:proofErr w:type="spellEnd"/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городская управа сообщает, что</w:t>
      </w:r>
      <w:r w:rsidR="008B06A4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B06A4">
        <w:rPr>
          <w:rFonts w:asciiTheme="majorBidi" w:hAnsiTheme="majorBidi" w:cstheme="majorBidi"/>
          <w:sz w:val="24"/>
          <w:szCs w:val="24"/>
          <w:lang w:val="ru-RU"/>
        </w:rPr>
        <w:t>до</w:t>
      </w:r>
      <w:r w:rsidR="00960A4C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подачи заявки </w:t>
      </w:r>
      <w:r w:rsidR="00AD7113">
        <w:rPr>
          <w:rFonts w:asciiTheme="majorBidi" w:hAnsiTheme="majorBidi" w:cstheme="majorBidi"/>
          <w:sz w:val="24"/>
          <w:szCs w:val="24"/>
          <w:lang w:val="ru-RU"/>
        </w:rPr>
        <w:t xml:space="preserve">на получение </w:t>
      </w:r>
      <w:r w:rsidR="00960A4C" w:rsidRPr="00F4764E">
        <w:rPr>
          <w:rFonts w:asciiTheme="majorBidi" w:hAnsiTheme="majorBidi" w:cstheme="majorBidi"/>
          <w:sz w:val="24"/>
          <w:szCs w:val="24"/>
          <w:lang w:val="ru-RU"/>
        </w:rPr>
        <w:t>проектных услови</w:t>
      </w:r>
      <w:r w:rsidR="00AD7113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960A4C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или заявки на разрешение на строительство</w:t>
      </w:r>
      <w:r w:rsidR="00AD7113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960A4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D7A45">
        <w:rPr>
          <w:rFonts w:asciiTheme="majorBidi" w:hAnsiTheme="majorBidi" w:cstheme="majorBidi"/>
          <w:sz w:val="24"/>
          <w:szCs w:val="24"/>
          <w:lang w:val="ru-RU"/>
        </w:rPr>
        <w:t>распоряжением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043E3"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илламяэской</w:t>
      </w:r>
      <w:proofErr w:type="spellEnd"/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городской управы № 209 от 18.04.2024 </w:t>
      </w:r>
      <w:r w:rsidR="003D7A45">
        <w:rPr>
          <w:rFonts w:asciiTheme="majorBidi" w:hAnsiTheme="majorBidi" w:cstheme="majorBidi"/>
          <w:sz w:val="24"/>
          <w:szCs w:val="24"/>
          <w:lang w:val="ru-RU"/>
        </w:rPr>
        <w:t xml:space="preserve">г.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была </w:t>
      </w:r>
      <w:r w:rsidR="003D7A45" w:rsidRPr="00F4764E">
        <w:rPr>
          <w:rFonts w:asciiTheme="majorBidi" w:hAnsiTheme="majorBidi" w:cstheme="majorBidi"/>
          <w:sz w:val="24"/>
          <w:szCs w:val="24"/>
          <w:lang w:val="ru-RU"/>
        </w:rPr>
        <w:t>инициирован</w:t>
      </w:r>
      <w:r w:rsidR="003D7A45">
        <w:rPr>
          <w:rFonts w:asciiTheme="majorBidi" w:hAnsiTheme="majorBidi" w:cstheme="majorBidi"/>
          <w:sz w:val="24"/>
          <w:szCs w:val="24"/>
          <w:lang w:val="ru-RU"/>
        </w:rPr>
        <w:t>а процедура</w:t>
      </w:r>
      <w:r w:rsidR="003D7A45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оценк</w:t>
      </w:r>
      <w:r w:rsidR="00465678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воздействия на окружающую среду </w:t>
      </w:r>
      <w:r w:rsidR="000043E3">
        <w:rPr>
          <w:rFonts w:asciiTheme="majorBidi" w:hAnsiTheme="majorBidi" w:cstheme="majorBidi"/>
          <w:sz w:val="24"/>
          <w:szCs w:val="24"/>
          <w:lang w:val="ru-RU"/>
        </w:rPr>
        <w:t>для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60A4C">
        <w:rPr>
          <w:rFonts w:asciiTheme="majorBidi" w:hAnsiTheme="majorBidi" w:cstheme="majorBidi"/>
          <w:sz w:val="24"/>
          <w:szCs w:val="24"/>
          <w:lang w:val="ru-RU"/>
        </w:rPr>
        <w:t>возведения тер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минала сжиженного метана по адресу </w:t>
      </w:r>
      <w:r w:rsidR="00960A4C">
        <w:rPr>
          <w:rFonts w:asciiTheme="majorBidi" w:hAnsiTheme="majorBidi" w:cstheme="majorBidi"/>
          <w:sz w:val="24"/>
          <w:szCs w:val="24"/>
          <w:lang w:val="ru-RU"/>
        </w:rPr>
        <w:t xml:space="preserve">ул. </w:t>
      </w:r>
      <w:proofErr w:type="spellStart"/>
      <w:r w:rsidRPr="00F4764E">
        <w:rPr>
          <w:rFonts w:asciiTheme="majorBidi" w:hAnsiTheme="majorBidi" w:cstheme="majorBidi"/>
          <w:sz w:val="24"/>
          <w:szCs w:val="24"/>
          <w:lang w:val="ru-RU"/>
        </w:rPr>
        <w:t>Кеск</w:t>
      </w:r>
      <w:proofErr w:type="spellEnd"/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2д</w:t>
      </w:r>
      <w:r w:rsidR="00960A4C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60A4C" w:rsidRPr="00F4764E">
        <w:rPr>
          <w:rFonts w:asciiTheme="majorBidi" w:hAnsiTheme="majorBidi" w:cstheme="majorBidi"/>
          <w:sz w:val="24"/>
          <w:szCs w:val="24"/>
          <w:lang w:val="ru-RU"/>
        </w:rPr>
        <w:t>Силламяэ</w:t>
      </w:r>
      <w:r w:rsidR="00960A4C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на территории порта Силламяэ.</w:t>
      </w:r>
    </w:p>
    <w:p w14:paraId="62293A05" w14:textId="77777777" w:rsidR="00D60633" w:rsidRDefault="00D60633" w:rsidP="00D606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753E7C6" w14:textId="7B194A7A" w:rsidR="003C7F92" w:rsidRPr="00F4764E" w:rsidRDefault="0016420B" w:rsidP="00D606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Л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иц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, принимающе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решение</w:t>
      </w:r>
      <w:r w:rsidR="005B5290">
        <w:rPr>
          <w:rFonts w:asciiTheme="majorBidi" w:hAnsiTheme="majorBidi" w:cstheme="majorBidi"/>
          <w:sz w:val="24"/>
          <w:szCs w:val="24"/>
          <w:lang w:val="ru-RU"/>
        </w:rPr>
        <w:t>: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652AEB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3C7F92" w:rsidRPr="00F4764E">
        <w:rPr>
          <w:rFonts w:asciiTheme="majorBidi" w:hAnsiTheme="majorBidi" w:cstheme="majorBidi"/>
          <w:sz w:val="24"/>
          <w:szCs w:val="24"/>
          <w:lang w:val="ru-RU"/>
        </w:rPr>
        <w:t>илламяэск</w:t>
      </w:r>
      <w:r w:rsidR="005B5290">
        <w:rPr>
          <w:rFonts w:asciiTheme="majorBidi" w:hAnsiTheme="majorBidi" w:cstheme="majorBidi"/>
          <w:sz w:val="24"/>
          <w:szCs w:val="24"/>
          <w:lang w:val="ru-RU"/>
        </w:rPr>
        <w:t>ая</w:t>
      </w:r>
      <w:proofErr w:type="spellEnd"/>
      <w:r w:rsidR="003C7F92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городск</w:t>
      </w:r>
      <w:r w:rsidR="005B5290">
        <w:rPr>
          <w:rFonts w:asciiTheme="majorBidi" w:hAnsiTheme="majorBidi" w:cstheme="majorBidi"/>
          <w:sz w:val="24"/>
          <w:szCs w:val="24"/>
          <w:lang w:val="ru-RU"/>
        </w:rPr>
        <w:t>ая</w:t>
      </w:r>
      <w:r w:rsidR="003C7F92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52AEB" w:rsidRPr="00F4764E">
        <w:rPr>
          <w:rFonts w:asciiTheme="majorBidi" w:hAnsiTheme="majorBidi" w:cstheme="majorBidi"/>
          <w:sz w:val="24"/>
          <w:szCs w:val="24"/>
          <w:lang w:val="ru-RU"/>
        </w:rPr>
        <w:t>управ</w:t>
      </w:r>
      <w:r w:rsidR="005B5290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3C7F92" w:rsidRPr="00F4764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8EF99D4" w14:textId="01EE26DA" w:rsidR="003C7F92" w:rsidRPr="00F4764E" w:rsidRDefault="003C7F92" w:rsidP="00D606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Контактное лицо лица, принимающего решение, – Тынис </w:t>
      </w:r>
      <w:proofErr w:type="spellStart"/>
      <w:r w:rsidRPr="00F4764E">
        <w:rPr>
          <w:rFonts w:asciiTheme="majorBidi" w:hAnsiTheme="majorBidi" w:cstheme="majorBidi"/>
          <w:sz w:val="24"/>
          <w:szCs w:val="24"/>
          <w:lang w:val="ru-RU"/>
        </w:rPr>
        <w:t>Калберг</w:t>
      </w:r>
      <w:proofErr w:type="spellEnd"/>
      <w:r w:rsidRPr="00F4764E">
        <w:rPr>
          <w:rFonts w:asciiTheme="majorBidi" w:hAnsiTheme="majorBidi" w:cstheme="majorBidi"/>
          <w:sz w:val="24"/>
          <w:szCs w:val="24"/>
          <w:lang w:val="ru-RU"/>
        </w:rPr>
        <w:t>, электронная почта linnavalitsus@sillamae.ee, телефон 39 25 700.</w:t>
      </w:r>
    </w:p>
    <w:p w14:paraId="4AED4071" w14:textId="1C9A7CD9" w:rsidR="003C7F92" w:rsidRPr="00F4764E" w:rsidRDefault="006E37BB" w:rsidP="00D606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E37BB">
        <w:rPr>
          <w:rFonts w:asciiTheme="majorBidi" w:hAnsiTheme="majorBidi" w:cstheme="majorBidi"/>
          <w:sz w:val="24"/>
          <w:szCs w:val="24"/>
          <w:lang w:val="ru-RU"/>
        </w:rPr>
        <w:t>Разработчик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="003C7F92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C7F92" w:rsidRPr="00F4764E">
        <w:rPr>
          <w:rFonts w:asciiTheme="majorBidi" w:hAnsiTheme="majorBidi" w:cstheme="majorBidi"/>
          <w:sz w:val="24"/>
          <w:szCs w:val="24"/>
          <w:lang w:val="ru-RU"/>
        </w:rPr>
        <w:t>JetGas</w:t>
      </w:r>
      <w:proofErr w:type="spellEnd"/>
      <w:r w:rsidR="003C7F92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OÜ.</w:t>
      </w:r>
    </w:p>
    <w:p w14:paraId="0ACE1482" w14:textId="77777777" w:rsidR="003C7F92" w:rsidRPr="00F4764E" w:rsidRDefault="003C7F92" w:rsidP="00D606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EF57075" w14:textId="36262E92" w:rsidR="003C7F92" w:rsidRPr="00F4764E" w:rsidRDefault="003C7F92" w:rsidP="009A60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Краткое описание и цели планируемой деятельности: </w:t>
      </w:r>
      <w:r w:rsidR="006E37BB" w:rsidRPr="006E37BB">
        <w:rPr>
          <w:rFonts w:asciiTheme="majorBidi" w:hAnsiTheme="majorBidi" w:cstheme="majorBidi"/>
          <w:sz w:val="24"/>
          <w:szCs w:val="24"/>
          <w:lang w:val="ru-RU"/>
        </w:rPr>
        <w:t xml:space="preserve">Разработчик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планирует перерабатывать до 2250 тонн (5 x 1000 м</w:t>
      </w:r>
      <w:r w:rsidRPr="001F6861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3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x 0,45 т/м</w:t>
      </w:r>
      <w:r w:rsidRPr="001F6861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3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= 2250 т) сжиженного метана в </w:t>
      </w:r>
      <w:r w:rsidR="001F6861">
        <w:rPr>
          <w:rFonts w:asciiTheme="majorBidi" w:hAnsiTheme="majorBidi" w:cstheme="majorBidi"/>
          <w:sz w:val="24"/>
          <w:szCs w:val="24"/>
          <w:lang w:val="ru-RU"/>
        </w:rPr>
        <w:t xml:space="preserve">порту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Силламяэ (</w:t>
      </w:r>
      <w:r w:rsidR="001F6861">
        <w:rPr>
          <w:rFonts w:asciiTheme="majorBidi" w:hAnsiTheme="majorBidi" w:cstheme="majorBidi"/>
          <w:sz w:val="24"/>
          <w:szCs w:val="24"/>
          <w:lang w:val="ru-RU"/>
        </w:rPr>
        <w:t xml:space="preserve">ул. </w:t>
      </w:r>
      <w:proofErr w:type="spellStart"/>
      <w:r w:rsidR="001F6861" w:rsidRPr="00F4764E">
        <w:rPr>
          <w:rFonts w:asciiTheme="majorBidi" w:hAnsiTheme="majorBidi" w:cstheme="majorBidi"/>
          <w:sz w:val="24"/>
          <w:szCs w:val="24"/>
          <w:lang w:val="ru-RU"/>
        </w:rPr>
        <w:t>Кеск</w:t>
      </w:r>
      <w:proofErr w:type="spellEnd"/>
      <w:r w:rsidR="001F6861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2д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, KÜ 73501:001:0226). Резервуарный парк терминала будет </w:t>
      </w:r>
      <w:r w:rsidR="00B344BD">
        <w:rPr>
          <w:rFonts w:asciiTheme="majorBidi" w:hAnsiTheme="majorBidi" w:cstheme="majorBidi"/>
          <w:sz w:val="24"/>
          <w:szCs w:val="24"/>
          <w:lang w:val="ru-RU"/>
        </w:rPr>
        <w:t>состоять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из пяти резервуаров</w:t>
      </w:r>
      <w:r w:rsidR="00B344BD">
        <w:rPr>
          <w:rFonts w:asciiTheme="majorBidi" w:hAnsiTheme="majorBidi" w:cstheme="majorBidi"/>
          <w:sz w:val="24"/>
          <w:szCs w:val="24"/>
          <w:lang w:val="ru-RU"/>
        </w:rPr>
        <w:t xml:space="preserve"> под давлением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с вакуумной изоляцией сигарообразной формы по </w:t>
      </w:r>
      <w:r w:rsidR="00E9181D">
        <w:rPr>
          <w:rFonts w:asciiTheme="majorBidi" w:hAnsiTheme="majorBidi" w:cstheme="majorBidi"/>
          <w:sz w:val="24"/>
          <w:szCs w:val="24"/>
          <w:lang w:val="ru-RU"/>
        </w:rPr>
        <w:t xml:space="preserve">около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1000</w:t>
      </w:r>
      <w:r w:rsidR="009A6096">
        <w:rPr>
          <w:rFonts w:asciiTheme="majorBidi" w:hAnsiTheme="majorBidi" w:cstheme="majorBidi"/>
          <w:sz w:val="24"/>
          <w:szCs w:val="24"/>
          <w:lang w:val="ru-RU"/>
        </w:rPr>
        <w:t> 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м</w:t>
      </w:r>
      <w:r w:rsidRPr="009A6096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3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881F9F" w:rsidRPr="00285351">
        <w:rPr>
          <w:rFonts w:eastAsia="Aptos"/>
        </w:rPr>
        <w:t>≤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450 т) общей вместимостью 5000 м</w:t>
      </w:r>
      <w:r w:rsidRPr="00E96FCC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3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96FCC" w:rsidRPr="00F4764E">
        <w:rPr>
          <w:rFonts w:asciiTheme="majorBidi" w:hAnsiTheme="majorBidi" w:cstheme="majorBidi"/>
          <w:sz w:val="24"/>
          <w:szCs w:val="24"/>
          <w:lang w:val="ru-RU"/>
        </w:rPr>
        <w:t>Резервуарный</w:t>
      </w:r>
      <w:r w:rsidR="00E96FCC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парк терминала будет соединен с погрузочно-разгрузочным узлом, расположенным на 6-м причале, </w:t>
      </w:r>
      <w:r w:rsidR="00E10DCE">
        <w:rPr>
          <w:rFonts w:asciiTheme="majorBidi" w:hAnsiTheme="majorBidi" w:cstheme="majorBidi"/>
          <w:sz w:val="24"/>
          <w:szCs w:val="24"/>
          <w:lang w:val="ru-RU"/>
        </w:rPr>
        <w:t xml:space="preserve">посредством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трубопровод</w:t>
      </w:r>
      <w:r w:rsidR="00E10DCE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длиной около 420 м. К </w:t>
      </w:r>
      <w:r w:rsidR="00DB1724">
        <w:rPr>
          <w:rFonts w:asciiTheme="majorBidi" w:hAnsiTheme="majorBidi" w:cstheme="majorBidi"/>
          <w:sz w:val="24"/>
          <w:szCs w:val="24"/>
          <w:lang w:val="ru-RU"/>
        </w:rPr>
        <w:t>резервуа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рному парку терминала </w:t>
      </w:r>
      <w:r w:rsidR="00DB1724">
        <w:rPr>
          <w:rFonts w:asciiTheme="majorBidi" w:hAnsiTheme="majorBidi" w:cstheme="majorBidi"/>
          <w:sz w:val="24"/>
          <w:szCs w:val="24"/>
          <w:lang w:val="ru-RU"/>
        </w:rPr>
        <w:t>будут</w:t>
      </w:r>
      <w:r w:rsidR="00F40AC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подключены узлы погрузки и разгрузки </w:t>
      </w:r>
      <w:r w:rsidR="00D209DC">
        <w:rPr>
          <w:rFonts w:asciiTheme="majorBidi" w:hAnsiTheme="majorBidi" w:cstheme="majorBidi"/>
          <w:sz w:val="24"/>
          <w:szCs w:val="24"/>
          <w:lang w:val="ru-RU"/>
        </w:rPr>
        <w:t>автомашин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для одновременной загрузки до двух </w:t>
      </w:r>
      <w:r w:rsidR="009F1E8A">
        <w:rPr>
          <w:rFonts w:asciiTheme="majorBidi" w:hAnsiTheme="majorBidi" w:cstheme="majorBidi"/>
          <w:sz w:val="24"/>
          <w:szCs w:val="24"/>
          <w:lang w:val="ru-RU"/>
        </w:rPr>
        <w:t>авто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цистерн. Все резервуары, испарители, трубопроводы и оборудование для жидкой фазы </w:t>
      </w:r>
      <w:r w:rsidR="00DA48A8">
        <w:rPr>
          <w:rFonts w:asciiTheme="majorBidi" w:hAnsiTheme="majorBidi" w:cstheme="majorBidi"/>
          <w:sz w:val="24"/>
          <w:szCs w:val="24"/>
          <w:lang w:val="ru-RU"/>
        </w:rPr>
        <w:t>планируется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установи</w:t>
      </w:r>
      <w:r w:rsidR="00DA48A8">
        <w:rPr>
          <w:rFonts w:asciiTheme="majorBidi" w:hAnsiTheme="majorBidi" w:cstheme="majorBidi"/>
          <w:sz w:val="24"/>
          <w:szCs w:val="24"/>
          <w:lang w:val="ru-RU"/>
        </w:rPr>
        <w:t>ть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на опорах над землей и окруж</w:t>
      </w:r>
      <w:r w:rsidR="00857B07">
        <w:rPr>
          <w:rFonts w:asciiTheme="majorBidi" w:hAnsiTheme="majorBidi" w:cstheme="majorBidi"/>
          <w:sz w:val="24"/>
          <w:szCs w:val="24"/>
          <w:lang w:val="ru-RU"/>
        </w:rPr>
        <w:t>ить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защитной зоной. При </w:t>
      </w:r>
      <w:r w:rsidR="002713FB">
        <w:rPr>
          <w:rFonts w:asciiTheme="majorBidi" w:hAnsiTheme="majorBidi" w:cstheme="majorBidi"/>
          <w:sz w:val="24"/>
          <w:szCs w:val="24"/>
          <w:lang w:val="ru-RU"/>
        </w:rPr>
        <w:t>эксплуатации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терминала </w:t>
      </w:r>
      <w:r w:rsidR="00A75ACD">
        <w:rPr>
          <w:rFonts w:asciiTheme="majorBidi" w:hAnsiTheme="majorBidi" w:cstheme="majorBidi"/>
          <w:sz w:val="24"/>
          <w:szCs w:val="24"/>
          <w:lang w:val="ru-RU"/>
        </w:rPr>
        <w:t>предусмотрены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две </w:t>
      </w:r>
      <w:r w:rsidR="00A75ACD">
        <w:rPr>
          <w:rFonts w:asciiTheme="majorBidi" w:hAnsiTheme="majorBidi" w:cstheme="majorBidi"/>
          <w:sz w:val="24"/>
          <w:szCs w:val="24"/>
          <w:lang w:val="ru-RU"/>
        </w:rPr>
        <w:t xml:space="preserve">возможные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схемы движения продукта: сжиженный метан принимается из </w:t>
      </w:r>
      <w:r w:rsidR="001D5CB0">
        <w:rPr>
          <w:rFonts w:asciiTheme="majorBidi" w:hAnsiTheme="majorBidi" w:cstheme="majorBidi"/>
          <w:sz w:val="24"/>
          <w:szCs w:val="24"/>
          <w:lang w:val="ru-RU"/>
        </w:rPr>
        <w:t>авто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цистерн, хранится и перекачивается на судно, либо сжиженный метан принимается с судна, хранится и загружается в </w:t>
      </w:r>
      <w:r w:rsidR="001D5CB0">
        <w:rPr>
          <w:rFonts w:asciiTheme="majorBidi" w:hAnsiTheme="majorBidi" w:cstheme="majorBidi"/>
          <w:sz w:val="24"/>
          <w:szCs w:val="24"/>
          <w:lang w:val="ru-RU"/>
        </w:rPr>
        <w:t>авто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цистерны.</w:t>
      </w:r>
    </w:p>
    <w:p w14:paraId="48E7F8F1" w14:textId="77777777" w:rsidR="003C7F92" w:rsidRPr="00F4764E" w:rsidRDefault="003C7F92" w:rsidP="00D606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646177C" w14:textId="61823BC3" w:rsidR="003C7F92" w:rsidRPr="00F4764E" w:rsidRDefault="003C7F92" w:rsidP="00D606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ОВОС планируемой деятельности была инициирована на основании </w:t>
      </w:r>
      <w:r w:rsidR="0093589F">
        <w:rPr>
          <w:rFonts w:asciiTheme="majorBidi" w:hAnsiTheme="majorBidi" w:cstheme="majorBidi"/>
          <w:sz w:val="24"/>
          <w:szCs w:val="24"/>
          <w:lang w:val="ru-RU"/>
        </w:rPr>
        <w:t>пункта</w:t>
      </w:r>
      <w:r w:rsidR="001E21CC">
        <w:rPr>
          <w:rFonts w:asciiTheme="majorBidi" w:hAnsiTheme="majorBidi" w:cstheme="majorBidi"/>
          <w:sz w:val="24"/>
          <w:szCs w:val="24"/>
          <w:lang w:val="ru-RU"/>
        </w:rPr>
        <w:t xml:space="preserve"> 33 части 1 статьи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6, </w:t>
      </w:r>
      <w:r w:rsidR="001E21CC">
        <w:rPr>
          <w:rFonts w:asciiTheme="majorBidi" w:hAnsiTheme="majorBidi" w:cstheme="majorBidi"/>
          <w:sz w:val="24"/>
          <w:szCs w:val="24"/>
          <w:lang w:val="ru-RU"/>
        </w:rPr>
        <w:t>части 1 статьи</w:t>
      </w:r>
      <w:r w:rsidR="001E21CC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9, </w:t>
      </w:r>
      <w:r w:rsidR="001E21CC">
        <w:rPr>
          <w:rFonts w:asciiTheme="majorBidi" w:hAnsiTheme="majorBidi" w:cstheme="majorBidi"/>
          <w:sz w:val="24"/>
          <w:szCs w:val="24"/>
          <w:lang w:val="ru-RU"/>
        </w:rPr>
        <w:t xml:space="preserve">части </w:t>
      </w:r>
      <w:r w:rsidR="001E21CC">
        <w:rPr>
          <w:rFonts w:asciiTheme="majorBidi" w:hAnsiTheme="majorBidi" w:cstheme="majorBidi"/>
          <w:sz w:val="24"/>
          <w:szCs w:val="24"/>
          <w:lang w:val="ru-RU"/>
        </w:rPr>
        <w:t>3</w:t>
      </w:r>
      <w:r w:rsidR="001E21CC">
        <w:rPr>
          <w:rFonts w:asciiTheme="majorBidi" w:hAnsiTheme="majorBidi" w:cstheme="majorBidi"/>
          <w:sz w:val="24"/>
          <w:szCs w:val="24"/>
          <w:lang w:val="ru-RU"/>
        </w:rPr>
        <w:t xml:space="preserve"> статьи</w:t>
      </w:r>
      <w:r w:rsidR="001E21CC" w:rsidRPr="00F4764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11 и </w:t>
      </w:r>
      <w:r w:rsidR="00D34556">
        <w:rPr>
          <w:rFonts w:asciiTheme="majorBidi" w:hAnsiTheme="majorBidi" w:cstheme="majorBidi"/>
          <w:sz w:val="24"/>
          <w:szCs w:val="24"/>
          <w:lang w:val="ru-RU"/>
        </w:rPr>
        <w:t>частей 2 и 4 статьи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26</w:t>
      </w:r>
      <w:r w:rsidRPr="00D34556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1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«</w:t>
      </w:r>
      <w:r w:rsidR="006975D4" w:rsidRPr="00F4764E">
        <w:rPr>
          <w:rFonts w:asciiTheme="majorBidi" w:hAnsiTheme="majorBidi" w:cstheme="majorBidi"/>
          <w:sz w:val="24"/>
          <w:szCs w:val="24"/>
          <w:lang w:val="ru-RU"/>
        </w:rPr>
        <w:t>Закона об оценке воздействия на окружающую среду и системе управления окружающей средой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» до подачи заявления на получение разрешения на деятельность в соответствии с </w:t>
      </w:r>
      <w:r w:rsidR="009630AD">
        <w:rPr>
          <w:rFonts w:asciiTheme="majorBidi" w:hAnsiTheme="majorBidi" w:cstheme="majorBidi"/>
          <w:sz w:val="24"/>
          <w:szCs w:val="24"/>
          <w:lang w:val="ru-RU"/>
        </w:rPr>
        <w:t>частью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1 статьи 11 </w:t>
      </w:r>
      <w:r w:rsidR="004E016F" w:rsidRPr="00F4764E">
        <w:rPr>
          <w:rFonts w:asciiTheme="majorBidi" w:hAnsiTheme="majorBidi" w:cstheme="majorBidi"/>
          <w:sz w:val="24"/>
          <w:szCs w:val="24"/>
          <w:lang w:val="ru-RU"/>
        </w:rPr>
        <w:t>«Закона об оценке воздействия на окружающую среду и системе управления окружающей средой»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и без обоснования необходимости проведения ОВОС. Нет никаких оснований для </w:t>
      </w:r>
      <w:r w:rsidR="00BD7BA6">
        <w:rPr>
          <w:rFonts w:asciiTheme="majorBidi" w:hAnsiTheme="majorBidi" w:cstheme="majorBidi"/>
          <w:sz w:val="24"/>
          <w:szCs w:val="24"/>
          <w:lang w:val="ru-RU"/>
        </w:rPr>
        <w:t>иниц</w:t>
      </w:r>
      <w:r w:rsidR="00C109C0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BD7BA6">
        <w:rPr>
          <w:rFonts w:asciiTheme="majorBidi" w:hAnsiTheme="majorBidi" w:cstheme="majorBidi"/>
          <w:sz w:val="24"/>
          <w:szCs w:val="24"/>
          <w:lang w:val="ru-RU"/>
        </w:rPr>
        <w:t>ирования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трансграничной ОВОС, поскольку не ожидается, что планируемая деятельность окажет значительное воздействие на окружающую среду, котор</w:t>
      </w:r>
      <w:r w:rsidR="00BD7BA6">
        <w:rPr>
          <w:rFonts w:asciiTheme="majorBidi" w:hAnsiTheme="majorBidi" w:cstheme="majorBidi"/>
          <w:sz w:val="24"/>
          <w:szCs w:val="24"/>
          <w:lang w:val="ru-RU"/>
        </w:rPr>
        <w:t>ое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может быть трансграничным. Нет необходимости совмещать процедуры ОВОС. Необходимые экологические исследования определяются во время подготовки программы ОВОС.</w:t>
      </w:r>
    </w:p>
    <w:p w14:paraId="1BD8AA89" w14:textId="77777777" w:rsidR="00233149" w:rsidRDefault="00233149" w:rsidP="00D606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CE97333" w14:textId="48A0E567" w:rsidR="006163E0" w:rsidRPr="00F4764E" w:rsidRDefault="003C7F92" w:rsidP="006163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Решение </w:t>
      </w:r>
      <w:r w:rsidR="00233149">
        <w:rPr>
          <w:rFonts w:asciiTheme="majorBidi" w:hAnsiTheme="majorBidi" w:cstheme="majorBidi"/>
          <w:sz w:val="24"/>
          <w:szCs w:val="24"/>
          <w:lang w:val="ru-RU"/>
        </w:rPr>
        <w:t>об инициировании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 xml:space="preserve"> ОВОС можно найти в реестре документов города Силламяэ или на сайте города Силламяэ по адресу </w:t>
      </w:r>
      <w:hyperlink r:id="rId4" w:history="1">
        <w:r w:rsidR="006163E0" w:rsidRPr="00D20A17">
          <w:rPr>
            <w:rStyle w:val="Hperlink"/>
            <w:rFonts w:asciiTheme="majorBidi" w:hAnsiTheme="majorBidi" w:cstheme="majorBidi"/>
            <w:sz w:val="24"/>
            <w:szCs w:val="24"/>
            <w:lang w:val="ru-RU"/>
          </w:rPr>
          <w:t>https://www.sillamae.ee/keskkonnamoju-hindamine</w:t>
        </w:r>
      </w:hyperlink>
      <w:r w:rsidR="006163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4764E">
        <w:rPr>
          <w:rFonts w:asciiTheme="majorBidi" w:hAnsiTheme="majorBidi" w:cstheme="majorBidi"/>
          <w:sz w:val="24"/>
          <w:szCs w:val="24"/>
          <w:lang w:val="ru-RU"/>
        </w:rPr>
        <w:t>.</w:t>
      </w:r>
    </w:p>
    <w:sectPr w:rsidR="006163E0" w:rsidRPr="00F4764E" w:rsidSect="00D6063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92"/>
    <w:rsid w:val="000043E3"/>
    <w:rsid w:val="0016420B"/>
    <w:rsid w:val="001D5CB0"/>
    <w:rsid w:val="001E21CC"/>
    <w:rsid w:val="001F6861"/>
    <w:rsid w:val="00233149"/>
    <w:rsid w:val="002713FB"/>
    <w:rsid w:val="003C7F92"/>
    <w:rsid w:val="003D7A45"/>
    <w:rsid w:val="00465678"/>
    <w:rsid w:val="004E016F"/>
    <w:rsid w:val="005B5290"/>
    <w:rsid w:val="006163E0"/>
    <w:rsid w:val="00643EB8"/>
    <w:rsid w:val="00652AEB"/>
    <w:rsid w:val="006975D4"/>
    <w:rsid w:val="006E37BB"/>
    <w:rsid w:val="00857B07"/>
    <w:rsid w:val="00881F9F"/>
    <w:rsid w:val="008B06A4"/>
    <w:rsid w:val="0093589F"/>
    <w:rsid w:val="00960A4C"/>
    <w:rsid w:val="009630AD"/>
    <w:rsid w:val="009A6096"/>
    <w:rsid w:val="009F1E8A"/>
    <w:rsid w:val="00A75ACD"/>
    <w:rsid w:val="00AD7113"/>
    <w:rsid w:val="00B344BD"/>
    <w:rsid w:val="00B746DE"/>
    <w:rsid w:val="00BD7BA6"/>
    <w:rsid w:val="00C109C0"/>
    <w:rsid w:val="00D209DC"/>
    <w:rsid w:val="00D34556"/>
    <w:rsid w:val="00D518D0"/>
    <w:rsid w:val="00D60633"/>
    <w:rsid w:val="00DA48A8"/>
    <w:rsid w:val="00DB1724"/>
    <w:rsid w:val="00DF3448"/>
    <w:rsid w:val="00E10DCE"/>
    <w:rsid w:val="00E9181D"/>
    <w:rsid w:val="00E96FCC"/>
    <w:rsid w:val="00F40AC6"/>
    <w:rsid w:val="00F4764E"/>
    <w:rsid w:val="00F64235"/>
    <w:rsid w:val="00F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1050"/>
  <w15:chartTrackingRefBased/>
  <w15:docId w15:val="{536C96AC-FAAC-47F3-AC74-7B4B72C4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C7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7F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C7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7F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C7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C7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C7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C7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C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7F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C7F9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C7F9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C7F9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C7F9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C7F9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C7F9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C7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C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C7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C7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C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C7F9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C7F9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C7F9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C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C7F9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C7F92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6163E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1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llamae.ee/keskkonnamoju-hindam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423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Sillamäe Linnavalitsus</dc:creator>
  <cp:keywords/>
  <dc:description/>
  <cp:lastModifiedBy>Sillamäe Linnavalitsus</cp:lastModifiedBy>
  <cp:revision>43</cp:revision>
  <dcterms:created xsi:type="dcterms:W3CDTF">2024-04-18T08:17:00Z</dcterms:created>
  <dcterms:modified xsi:type="dcterms:W3CDTF">2024-04-18T09:04:00Z</dcterms:modified>
</cp:coreProperties>
</file>