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746" w:rsidRDefault="00843746" w:rsidP="00843746">
      <w:pPr>
        <w:pStyle w:val="Heading2"/>
      </w:pPr>
      <w:bookmarkStart w:id="0" w:name="_GoBack"/>
      <w:r>
        <w:t xml:space="preserve">Lisa </w:t>
      </w:r>
      <w:r w:rsidR="00225DA2">
        <w:t>3</w:t>
      </w:r>
      <w:r>
        <w:t xml:space="preserve">. </w:t>
      </w:r>
      <w:r w:rsidRPr="008E47B2">
        <w:rPr>
          <w:rFonts w:eastAsiaTheme="minorHAnsi"/>
        </w:rPr>
        <w:t>Maksumuse esildise vorm</w:t>
      </w:r>
    </w:p>
    <w:bookmarkEnd w:id="0"/>
    <w:p w:rsidR="00843746" w:rsidRDefault="00843746" w:rsidP="00843746">
      <w:pPr>
        <w:rPr>
          <w:lang w:val="et-EE"/>
        </w:rPr>
      </w:pPr>
      <w:r>
        <w:rPr>
          <w:b/>
          <w:bCs/>
          <w:lang w:val="et-EE"/>
        </w:rPr>
        <w:t>Hankija nimi:</w:t>
      </w:r>
      <w:r>
        <w:rPr>
          <w:lang w:val="et-EE"/>
        </w:rPr>
        <w:t xml:space="preserve"> Sillamäe Kesk tn 30 Spordikompleksi tuleohutuse projekteerimine</w:t>
      </w:r>
    </w:p>
    <w:p w:rsidR="00843746" w:rsidRPr="008E47B2" w:rsidRDefault="00843746" w:rsidP="00843746">
      <w:pPr>
        <w:pStyle w:val="a0"/>
        <w:jc w:val="both"/>
        <w:rPr>
          <w:rFonts w:asciiTheme="minorHAnsi" w:eastAsiaTheme="minorHAnsi" w:hAnsiTheme="minorHAnsi" w:cstheme="minorBidi"/>
          <w:sz w:val="22"/>
          <w:szCs w:val="22"/>
          <w:lang w:val="et-EE"/>
        </w:rPr>
      </w:pPr>
      <w:r>
        <w:rPr>
          <w:b/>
          <w:bCs/>
          <w:lang w:val="et-EE"/>
        </w:rPr>
        <w:t>Hanke nimetus:</w:t>
      </w:r>
      <w:r>
        <w:rPr>
          <w:lang w:val="et-EE"/>
        </w:rPr>
        <w:t xml:space="preserve"> </w:t>
      </w:r>
      <w:r w:rsidRPr="008F2242">
        <w:rPr>
          <w:bCs/>
          <w:lang w:val="et-EE"/>
        </w:rPr>
        <w:t xml:space="preserve">Sillamäe Spordikompleksi Kalev hoone (Kesk tn 30) </w:t>
      </w:r>
      <w:r w:rsidRPr="008F2242">
        <w:rPr>
          <w:lang w:val="et-EE"/>
        </w:rPr>
        <w:t>ehitusprojekti tuleohutus ja tulekahjusignalisatsiooni osa</w:t>
      </w:r>
    </w:p>
    <w:p w:rsidR="00843746" w:rsidRPr="008E47B2" w:rsidRDefault="00843746" w:rsidP="00843746">
      <w:pPr>
        <w:jc w:val="center"/>
        <w:rPr>
          <w:b/>
          <w:bCs/>
          <w:lang w:val="et-EE"/>
        </w:rPr>
      </w:pPr>
    </w:p>
    <w:p w:rsidR="00843746" w:rsidRPr="008E47B2" w:rsidRDefault="00843746" w:rsidP="00843746">
      <w:pPr>
        <w:jc w:val="center"/>
        <w:rPr>
          <w:b/>
          <w:bCs/>
          <w:lang w:val="et-EE"/>
        </w:rPr>
      </w:pPr>
    </w:p>
    <w:p w:rsidR="00843746" w:rsidRPr="008E47B2" w:rsidRDefault="00843746" w:rsidP="00843746">
      <w:pPr>
        <w:jc w:val="left"/>
        <w:rPr>
          <w:b/>
          <w:bCs/>
          <w:lang w:val="et-EE"/>
        </w:rPr>
      </w:pPr>
      <w:r w:rsidRPr="008E47B2">
        <w:rPr>
          <w:b/>
          <w:bCs/>
          <w:lang w:val="et-EE"/>
        </w:rPr>
        <w:t>Hankemenetluse „</w:t>
      </w:r>
      <w:r w:rsidRPr="008F2242">
        <w:rPr>
          <w:bCs/>
          <w:szCs w:val="24"/>
          <w:lang w:val="et-EE"/>
        </w:rPr>
        <w:t xml:space="preserve">Sillamäe Spordikompleksi Kalev hoone (Kesk tn 30) </w:t>
      </w:r>
      <w:r w:rsidRPr="008F2242">
        <w:rPr>
          <w:szCs w:val="24"/>
          <w:lang w:val="et-EE"/>
        </w:rPr>
        <w:t>ehitusprojekti tuleohutus ja tulekahjusignalisatsiooni osa</w:t>
      </w:r>
      <w:r w:rsidRPr="008E47B2">
        <w:rPr>
          <w:b/>
          <w:bCs/>
          <w:lang w:val="et-EE"/>
        </w:rPr>
        <w:t>“ hinnapakkumise maksumuse esildis</w:t>
      </w:r>
    </w:p>
    <w:p w:rsidR="00843746" w:rsidRPr="008B5F79" w:rsidRDefault="00843746" w:rsidP="00843746">
      <w:pPr>
        <w:rPr>
          <w:lang w:val="et-EE"/>
        </w:rPr>
      </w:pPr>
    </w:p>
    <w:p w:rsidR="00843746" w:rsidRPr="008B5F79" w:rsidRDefault="00843746" w:rsidP="00843746">
      <w:pPr>
        <w:rPr>
          <w:b/>
          <w:bCs/>
          <w:lang w:val="et-EE"/>
        </w:rPr>
      </w:pPr>
      <w:r w:rsidRPr="008B5F79">
        <w:rPr>
          <w:lang w:val="et-EE"/>
        </w:rPr>
        <w:t>Pakkuja __________ poolt hankemenetluses „</w:t>
      </w:r>
      <w:r w:rsidRPr="008B5F79">
        <w:rPr>
          <w:bCs/>
          <w:szCs w:val="24"/>
          <w:lang w:val="et-EE"/>
        </w:rPr>
        <w:t xml:space="preserve">Sillamäe Spordikompleksi Kalev hoone (Kesk tn 30) </w:t>
      </w:r>
      <w:r w:rsidRPr="008B5F79">
        <w:rPr>
          <w:szCs w:val="24"/>
          <w:lang w:val="et-EE"/>
        </w:rPr>
        <w:t>ehitusprojekti tuleohutus ja tulekahjusignalisatsiooni osa</w:t>
      </w:r>
      <w:r w:rsidRPr="008B5F79">
        <w:rPr>
          <w:lang w:val="et-EE"/>
        </w:rPr>
        <w:t>“ pakutav maksumus ühikuhindade alusel on järgmine.</w:t>
      </w:r>
    </w:p>
    <w:p w:rsidR="00843746" w:rsidRPr="008B5F79" w:rsidRDefault="00843746" w:rsidP="00843746">
      <w:pPr>
        <w:rPr>
          <w:lang w:val="et-EE"/>
        </w:rPr>
      </w:pPr>
    </w:p>
    <w:p w:rsidR="00843746" w:rsidRPr="008B5F79" w:rsidRDefault="00843746" w:rsidP="00843746">
      <w:pPr>
        <w:rPr>
          <w:lang w:val="et-E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096"/>
        <w:gridCol w:w="2976"/>
      </w:tblGrid>
      <w:tr w:rsidR="00843746" w:rsidRPr="008B5F79" w:rsidTr="00754BC8">
        <w:trPr>
          <w:trHeight w:val="372"/>
        </w:trPr>
        <w:tc>
          <w:tcPr>
            <w:tcW w:w="675" w:type="dxa"/>
            <w:vAlign w:val="center"/>
          </w:tcPr>
          <w:p w:rsidR="00843746" w:rsidRPr="008B5F79" w:rsidRDefault="00843746" w:rsidP="00776C9D">
            <w:pPr>
              <w:jc w:val="center"/>
              <w:rPr>
                <w:lang w:val="et-EE"/>
              </w:rPr>
            </w:pPr>
            <w:r w:rsidRPr="008B5F79">
              <w:rPr>
                <w:lang w:val="et-EE"/>
              </w:rPr>
              <w:t>Jrk. Nr.</w:t>
            </w:r>
          </w:p>
        </w:tc>
        <w:tc>
          <w:tcPr>
            <w:tcW w:w="6096" w:type="dxa"/>
            <w:vAlign w:val="center"/>
          </w:tcPr>
          <w:p w:rsidR="00843746" w:rsidRPr="008B5F79" w:rsidRDefault="00843746" w:rsidP="00776C9D">
            <w:pPr>
              <w:jc w:val="center"/>
              <w:rPr>
                <w:b/>
                <w:bCs/>
                <w:lang w:val="et-EE"/>
              </w:rPr>
            </w:pPr>
            <w:r w:rsidRPr="008B5F79">
              <w:rPr>
                <w:b/>
                <w:bCs/>
                <w:lang w:val="et-EE"/>
              </w:rPr>
              <w:t>Nimetus</w:t>
            </w:r>
          </w:p>
        </w:tc>
        <w:tc>
          <w:tcPr>
            <w:tcW w:w="2976" w:type="dxa"/>
            <w:vAlign w:val="center"/>
          </w:tcPr>
          <w:p w:rsidR="00843746" w:rsidRPr="008B5F79" w:rsidRDefault="00843746" w:rsidP="00776C9D">
            <w:pPr>
              <w:jc w:val="center"/>
              <w:rPr>
                <w:b/>
                <w:bCs/>
                <w:lang w:val="et-EE"/>
              </w:rPr>
            </w:pPr>
            <w:r w:rsidRPr="008B5F79">
              <w:rPr>
                <w:b/>
                <w:bCs/>
                <w:lang w:val="et-EE"/>
              </w:rPr>
              <w:t>Summa eurodes</w:t>
            </w:r>
          </w:p>
        </w:tc>
      </w:tr>
      <w:tr w:rsidR="00843746" w:rsidRPr="008B5F79" w:rsidTr="00754BC8">
        <w:trPr>
          <w:trHeight w:val="314"/>
        </w:trPr>
        <w:tc>
          <w:tcPr>
            <w:tcW w:w="675" w:type="dxa"/>
          </w:tcPr>
          <w:p w:rsidR="00843746" w:rsidRPr="008B5F79" w:rsidRDefault="00843746" w:rsidP="00776C9D">
            <w:pPr>
              <w:rPr>
                <w:b/>
                <w:bCs/>
                <w:lang w:val="et-EE"/>
              </w:rPr>
            </w:pPr>
            <w:r w:rsidRPr="008B5F79">
              <w:rPr>
                <w:b/>
                <w:bCs/>
                <w:lang w:val="et-EE"/>
              </w:rPr>
              <w:t>1</w:t>
            </w:r>
          </w:p>
        </w:tc>
        <w:tc>
          <w:tcPr>
            <w:tcW w:w="6096" w:type="dxa"/>
          </w:tcPr>
          <w:p w:rsidR="00843746" w:rsidRPr="008B5F79" w:rsidRDefault="00843746" w:rsidP="00776C9D">
            <w:pPr>
              <w:rPr>
                <w:lang w:val="et-EE"/>
              </w:rPr>
            </w:pPr>
            <w:r w:rsidRPr="008B5F79">
              <w:rPr>
                <w:bCs/>
                <w:szCs w:val="24"/>
                <w:lang w:val="et-EE"/>
              </w:rPr>
              <w:t xml:space="preserve">Sillamäe Spordikompleksi Kalev hoone </w:t>
            </w:r>
            <w:r w:rsidRPr="008B5F79">
              <w:rPr>
                <w:szCs w:val="24"/>
                <w:lang w:val="et-EE"/>
              </w:rPr>
              <w:t>ehitusprojekti tuleohutus ja tulekahjusignalisatsiooni osa koostamine</w:t>
            </w:r>
          </w:p>
        </w:tc>
        <w:tc>
          <w:tcPr>
            <w:tcW w:w="2976" w:type="dxa"/>
          </w:tcPr>
          <w:p w:rsidR="00843746" w:rsidRPr="008B5F79" w:rsidRDefault="00843746" w:rsidP="00776C9D">
            <w:pPr>
              <w:rPr>
                <w:lang w:val="et-EE"/>
              </w:rPr>
            </w:pPr>
          </w:p>
        </w:tc>
      </w:tr>
      <w:tr w:rsidR="00843746" w:rsidRPr="008B5F79" w:rsidTr="00754BC8">
        <w:trPr>
          <w:trHeight w:val="193"/>
        </w:trPr>
        <w:tc>
          <w:tcPr>
            <w:tcW w:w="675" w:type="dxa"/>
          </w:tcPr>
          <w:p w:rsidR="00843746" w:rsidRPr="008B5F79" w:rsidRDefault="00843746" w:rsidP="00776C9D">
            <w:pPr>
              <w:rPr>
                <w:lang w:val="et-EE"/>
              </w:rPr>
            </w:pPr>
            <w:r w:rsidRPr="008B5F79">
              <w:rPr>
                <w:lang w:val="et-EE"/>
              </w:rPr>
              <w:t>2</w:t>
            </w:r>
          </w:p>
        </w:tc>
        <w:tc>
          <w:tcPr>
            <w:tcW w:w="6096" w:type="dxa"/>
          </w:tcPr>
          <w:p w:rsidR="00843746" w:rsidRPr="008B5F79" w:rsidRDefault="00843746" w:rsidP="00776C9D">
            <w:pPr>
              <w:jc w:val="right"/>
              <w:rPr>
                <w:b/>
                <w:lang w:val="et-EE"/>
              </w:rPr>
            </w:pPr>
            <w:r w:rsidRPr="008B5F79">
              <w:rPr>
                <w:b/>
                <w:lang w:val="et-EE"/>
              </w:rPr>
              <w:t>Kokku</w:t>
            </w:r>
          </w:p>
        </w:tc>
        <w:tc>
          <w:tcPr>
            <w:tcW w:w="2976" w:type="dxa"/>
          </w:tcPr>
          <w:p w:rsidR="00843746" w:rsidRPr="008B5F79" w:rsidRDefault="00843746" w:rsidP="00776C9D">
            <w:pPr>
              <w:rPr>
                <w:b/>
                <w:lang w:val="et-EE"/>
              </w:rPr>
            </w:pPr>
          </w:p>
        </w:tc>
      </w:tr>
      <w:tr w:rsidR="00843746" w:rsidRPr="008B5F79" w:rsidTr="00754BC8">
        <w:trPr>
          <w:trHeight w:val="193"/>
        </w:trPr>
        <w:tc>
          <w:tcPr>
            <w:tcW w:w="675" w:type="dxa"/>
          </w:tcPr>
          <w:p w:rsidR="00843746" w:rsidRPr="008B5F79" w:rsidRDefault="00843746" w:rsidP="00776C9D">
            <w:pPr>
              <w:rPr>
                <w:lang w:val="et-EE"/>
              </w:rPr>
            </w:pPr>
            <w:r w:rsidRPr="008B5F79">
              <w:rPr>
                <w:lang w:val="et-EE"/>
              </w:rPr>
              <w:t>3</w:t>
            </w:r>
          </w:p>
        </w:tc>
        <w:tc>
          <w:tcPr>
            <w:tcW w:w="6096" w:type="dxa"/>
          </w:tcPr>
          <w:p w:rsidR="00843746" w:rsidRPr="008B5F79" w:rsidRDefault="00843746" w:rsidP="00776C9D">
            <w:pPr>
              <w:jc w:val="right"/>
              <w:rPr>
                <w:lang w:val="et-EE"/>
              </w:rPr>
            </w:pPr>
            <w:r w:rsidRPr="008B5F79">
              <w:rPr>
                <w:lang w:val="et-EE"/>
              </w:rPr>
              <w:t>Käibemaks</w:t>
            </w:r>
          </w:p>
        </w:tc>
        <w:tc>
          <w:tcPr>
            <w:tcW w:w="2976" w:type="dxa"/>
          </w:tcPr>
          <w:p w:rsidR="00843746" w:rsidRPr="008B5F79" w:rsidRDefault="00843746" w:rsidP="00776C9D">
            <w:pPr>
              <w:rPr>
                <w:lang w:val="et-EE"/>
              </w:rPr>
            </w:pPr>
          </w:p>
        </w:tc>
      </w:tr>
      <w:tr w:rsidR="00843746" w:rsidRPr="008B5F79" w:rsidTr="00754BC8">
        <w:trPr>
          <w:trHeight w:val="193"/>
        </w:trPr>
        <w:tc>
          <w:tcPr>
            <w:tcW w:w="675" w:type="dxa"/>
          </w:tcPr>
          <w:p w:rsidR="00843746" w:rsidRPr="008B5F79" w:rsidRDefault="00843746" w:rsidP="00776C9D">
            <w:pPr>
              <w:rPr>
                <w:lang w:val="et-EE"/>
              </w:rPr>
            </w:pPr>
            <w:r w:rsidRPr="008B5F79">
              <w:rPr>
                <w:lang w:val="et-EE"/>
              </w:rPr>
              <w:t>4</w:t>
            </w:r>
          </w:p>
        </w:tc>
        <w:tc>
          <w:tcPr>
            <w:tcW w:w="6096" w:type="dxa"/>
          </w:tcPr>
          <w:p w:rsidR="00843746" w:rsidRPr="008B5F79" w:rsidRDefault="00843746" w:rsidP="00776C9D">
            <w:pPr>
              <w:jc w:val="right"/>
              <w:rPr>
                <w:b/>
                <w:lang w:val="et-EE"/>
              </w:rPr>
            </w:pPr>
            <w:r w:rsidRPr="008B5F79">
              <w:rPr>
                <w:b/>
                <w:lang w:val="et-EE"/>
              </w:rPr>
              <w:t>Maksumus käibemaksuga</w:t>
            </w:r>
          </w:p>
        </w:tc>
        <w:tc>
          <w:tcPr>
            <w:tcW w:w="2976" w:type="dxa"/>
          </w:tcPr>
          <w:p w:rsidR="00843746" w:rsidRPr="008B5F79" w:rsidRDefault="00843746" w:rsidP="00776C9D">
            <w:pPr>
              <w:rPr>
                <w:b/>
                <w:lang w:val="et-EE"/>
              </w:rPr>
            </w:pPr>
          </w:p>
        </w:tc>
      </w:tr>
    </w:tbl>
    <w:p w:rsidR="00843746" w:rsidRPr="008B5F79" w:rsidRDefault="00843746" w:rsidP="00843746">
      <w:pPr>
        <w:rPr>
          <w:b/>
          <w:bCs/>
          <w:i/>
          <w:iCs/>
          <w:lang w:val="et-EE"/>
        </w:rPr>
      </w:pPr>
    </w:p>
    <w:p w:rsidR="00843746" w:rsidRPr="008B5F79" w:rsidRDefault="00843746" w:rsidP="00843746">
      <w:pPr>
        <w:rPr>
          <w:b/>
          <w:bCs/>
          <w:i/>
          <w:iCs/>
          <w:lang w:val="et-EE"/>
        </w:rPr>
      </w:pPr>
    </w:p>
    <w:p w:rsidR="00843746" w:rsidRPr="008B5F79" w:rsidRDefault="00843746" w:rsidP="00843746">
      <w:pPr>
        <w:pStyle w:val="BodyText2"/>
        <w:rPr>
          <w:szCs w:val="22"/>
        </w:rPr>
      </w:pPr>
      <w:r w:rsidRPr="008B5F79">
        <w:rPr>
          <w:szCs w:val="22"/>
        </w:rPr>
        <w:t>1. Kinnitame, et meie pakkumuse maksumuses on igakülgselt arvesse võetud:</w:t>
      </w:r>
    </w:p>
    <w:p w:rsidR="00843746" w:rsidRPr="008B5F79" w:rsidRDefault="00843746" w:rsidP="00843746">
      <w:pPr>
        <w:rPr>
          <w:szCs w:val="22"/>
          <w:lang w:val="et-EE"/>
        </w:rPr>
      </w:pPr>
      <w:r w:rsidRPr="008B5F79">
        <w:rPr>
          <w:szCs w:val="22"/>
          <w:lang w:val="et-EE"/>
        </w:rPr>
        <w:t>1.1.</w:t>
      </w:r>
      <w:r w:rsidRPr="008B5F79">
        <w:rPr>
          <w:szCs w:val="22"/>
          <w:lang w:val="et-EE"/>
        </w:rPr>
        <w:tab/>
        <w:t>hankedokumente ja selle lisasid;</w:t>
      </w:r>
    </w:p>
    <w:p w:rsidR="00843746" w:rsidRPr="008B5F79" w:rsidRDefault="00843746" w:rsidP="00843746">
      <w:pPr>
        <w:pStyle w:val="BodyText2"/>
        <w:ind w:left="720" w:hanging="720"/>
        <w:rPr>
          <w:szCs w:val="22"/>
        </w:rPr>
      </w:pPr>
      <w:r w:rsidRPr="008B5F79">
        <w:rPr>
          <w:szCs w:val="22"/>
        </w:rPr>
        <w:t>1.2.</w:t>
      </w:r>
      <w:r w:rsidRPr="008B5F79">
        <w:rPr>
          <w:szCs w:val="22"/>
        </w:rPr>
        <w:tab/>
        <w:t>kõiki hankedokumentides ja selle lisades sätestatud ja nendest tulenevaid käsundisaaja kohustusi, ülesandeid, tegevusi ja toiminguid;</w:t>
      </w:r>
    </w:p>
    <w:p w:rsidR="00843746" w:rsidRPr="008B5F79" w:rsidRDefault="00843746" w:rsidP="00843746">
      <w:pPr>
        <w:pStyle w:val="a"/>
        <w:numPr>
          <w:ilvl w:val="1"/>
          <w:numId w:val="1"/>
        </w:numPr>
        <w:tabs>
          <w:tab w:val="left" w:pos="-1440"/>
        </w:tabs>
        <w:jc w:val="both"/>
        <w:rPr>
          <w:sz w:val="24"/>
          <w:szCs w:val="22"/>
          <w:lang w:val="et-EE"/>
        </w:rPr>
      </w:pPr>
      <w:r w:rsidRPr="008B5F79">
        <w:rPr>
          <w:sz w:val="24"/>
          <w:szCs w:val="22"/>
          <w:lang w:val="et-EE"/>
        </w:rPr>
        <w:t>kõiki kulusid, riske ja asjaolusid ning kõiki tingimusi (üldiseid ja erilisi asjaolusid, seejuures midagi välja jätmata), mis võiks pakkumuse maksumust mõjutada</w:t>
      </w:r>
      <w:r w:rsidRPr="008B5F79">
        <w:rPr>
          <w:b/>
          <w:bCs/>
          <w:sz w:val="24"/>
          <w:szCs w:val="22"/>
          <w:lang w:val="et-EE"/>
        </w:rPr>
        <w:t>.</w:t>
      </w:r>
    </w:p>
    <w:p w:rsidR="00843746" w:rsidRPr="008B5F79" w:rsidRDefault="00843746" w:rsidP="00843746">
      <w:pPr>
        <w:rPr>
          <w:szCs w:val="22"/>
          <w:lang w:val="et-EE"/>
        </w:rPr>
      </w:pPr>
      <w:r w:rsidRPr="008B5F79">
        <w:rPr>
          <w:szCs w:val="22"/>
          <w:lang w:val="et-EE"/>
        </w:rPr>
        <w:t>2. Kinnitame, et:</w:t>
      </w:r>
    </w:p>
    <w:p w:rsidR="00843746" w:rsidRPr="008B5F79" w:rsidRDefault="00843746" w:rsidP="00843746">
      <w:pPr>
        <w:pStyle w:val="BodyText2"/>
        <w:ind w:left="720" w:hanging="720"/>
        <w:rPr>
          <w:szCs w:val="22"/>
        </w:rPr>
      </w:pPr>
      <w:r w:rsidRPr="008B5F79">
        <w:rPr>
          <w:szCs w:val="22"/>
        </w:rPr>
        <w:t xml:space="preserve">2.1. </w:t>
      </w:r>
      <w:r w:rsidRPr="008B5F79">
        <w:rPr>
          <w:szCs w:val="22"/>
        </w:rPr>
        <w:tab/>
        <w:t>oleme saanud hankijalt kogu käesoleva pakkumuse koostamiseks vajaliku informatsiooni ning oleme tutvunud kõikide seonduvate asjaolude ning tingimustega;</w:t>
      </w:r>
    </w:p>
    <w:p w:rsidR="00843746" w:rsidRPr="008B5F79" w:rsidRDefault="00843746" w:rsidP="00843746">
      <w:pPr>
        <w:ind w:left="720" w:hanging="720"/>
        <w:rPr>
          <w:szCs w:val="22"/>
          <w:lang w:val="et-EE"/>
        </w:rPr>
      </w:pPr>
      <w:r w:rsidRPr="008B5F79">
        <w:rPr>
          <w:szCs w:val="22"/>
          <w:lang w:val="et-EE"/>
        </w:rPr>
        <w:t xml:space="preserve">2.2. </w:t>
      </w:r>
      <w:r w:rsidRPr="008B5F79">
        <w:rPr>
          <w:szCs w:val="22"/>
          <w:lang w:val="et-EE"/>
        </w:rPr>
        <w:tab/>
        <w:t>oleme kontrollinud ning veendunud, et eelnimetatud dokumentides ei ole olulisi vigu ega puudusi, mis takistaks siduva pakkumuse esitamist;</w:t>
      </w:r>
    </w:p>
    <w:p w:rsidR="00843746" w:rsidRPr="008B5F79" w:rsidRDefault="00843746" w:rsidP="00843746">
      <w:pPr>
        <w:pStyle w:val="a"/>
        <w:tabs>
          <w:tab w:val="left" w:pos="-1440"/>
        </w:tabs>
        <w:jc w:val="both"/>
        <w:rPr>
          <w:sz w:val="24"/>
          <w:szCs w:val="22"/>
          <w:lang w:val="et-EE"/>
        </w:rPr>
      </w:pPr>
      <w:r w:rsidRPr="008B5F79">
        <w:rPr>
          <w:sz w:val="24"/>
          <w:szCs w:val="22"/>
          <w:lang w:val="et-EE"/>
        </w:rPr>
        <w:t>2.3.</w:t>
      </w:r>
      <w:r w:rsidRPr="008B5F79">
        <w:rPr>
          <w:sz w:val="24"/>
          <w:szCs w:val="22"/>
          <w:lang w:val="et-EE"/>
        </w:rPr>
        <w:tab/>
        <w:t>nõustume hankedokumentide ja selle lisade tingimustega ning anname endale täielikult aru käsundisaaja vastutuse ning kohustuste mahust.</w:t>
      </w:r>
    </w:p>
    <w:p w:rsidR="00843746" w:rsidRPr="008B5F79" w:rsidRDefault="00843746" w:rsidP="00843746">
      <w:pPr>
        <w:rPr>
          <w:szCs w:val="8"/>
          <w:lang w:val="et-EE"/>
        </w:rPr>
      </w:pPr>
    </w:p>
    <w:p w:rsidR="00843746" w:rsidRPr="008B5F79" w:rsidRDefault="00843746" w:rsidP="00843746">
      <w:pPr>
        <w:rPr>
          <w:b/>
          <w:szCs w:val="22"/>
          <w:lang w:val="et-EE"/>
        </w:rPr>
      </w:pPr>
      <w:r w:rsidRPr="008B5F79">
        <w:rPr>
          <w:b/>
          <w:szCs w:val="22"/>
          <w:lang w:val="et-EE"/>
        </w:rPr>
        <w:t>Pakkumuse koostamisel oleme arvesse võtnud kõik käesoleva hanke teostamiseks ja hankelepingu eesmärgi saavutamiseks vajalikud käsundisaaja teenused, tegevused ja toimingud, kaasa arvatud need, mis ei ole otseselt kirjeldatud hankedokumentides ja selle lisades, kuid mis on tavapäraselt vajalikud nõuetekohase tulemuse saavutamiseks arvestades lepingu eesmärki.</w:t>
      </w:r>
    </w:p>
    <w:p w:rsidR="00843746" w:rsidRPr="008B5F79" w:rsidRDefault="00843746" w:rsidP="00843746">
      <w:pPr>
        <w:rPr>
          <w:b/>
          <w:bCs/>
          <w:iCs/>
          <w:lang w:val="et-EE"/>
        </w:rPr>
      </w:pPr>
    </w:p>
    <w:p w:rsidR="00843746" w:rsidRPr="008B5F79" w:rsidRDefault="00843746" w:rsidP="00843746">
      <w:pPr>
        <w:rPr>
          <w:b/>
          <w:bCs/>
          <w:i/>
          <w:iCs/>
          <w:lang w:val="et-EE"/>
        </w:rPr>
      </w:pPr>
    </w:p>
    <w:p w:rsidR="00843746" w:rsidRPr="008B5F79" w:rsidRDefault="00843746" w:rsidP="00843746">
      <w:pPr>
        <w:tabs>
          <w:tab w:val="left" w:pos="6521"/>
        </w:tabs>
        <w:spacing w:before="120"/>
        <w:ind w:left="577" w:hanging="577"/>
        <w:rPr>
          <w:bCs/>
          <w:iCs/>
          <w:szCs w:val="24"/>
          <w:lang w:val="et-EE"/>
        </w:rPr>
      </w:pPr>
      <w:r w:rsidRPr="008B5F79">
        <w:rPr>
          <w:bCs/>
          <w:iCs/>
          <w:szCs w:val="24"/>
          <w:lang w:val="et-EE"/>
        </w:rPr>
        <w:t xml:space="preserve">Pakkuja seadusjärgne või volitatud esindaja (volikiri esindusõiguse kohta). </w:t>
      </w:r>
    </w:p>
    <w:p w:rsidR="00843746" w:rsidRPr="008B5F79" w:rsidRDefault="00843746" w:rsidP="00843746">
      <w:pPr>
        <w:rPr>
          <w:szCs w:val="24"/>
          <w:lang w:val="et-EE"/>
        </w:rPr>
      </w:pPr>
    </w:p>
    <w:p w:rsidR="00843746" w:rsidRPr="008B5F79" w:rsidRDefault="00843746" w:rsidP="00843746">
      <w:pPr>
        <w:rPr>
          <w:szCs w:val="24"/>
          <w:lang w:val="et-EE"/>
        </w:rPr>
      </w:pPr>
      <w:r w:rsidRPr="008B5F79">
        <w:rPr>
          <w:szCs w:val="24"/>
          <w:lang w:val="et-EE"/>
        </w:rPr>
        <w:t>Nimi</w:t>
      </w:r>
      <w:r w:rsidRPr="008B5F79">
        <w:rPr>
          <w:szCs w:val="24"/>
          <w:lang w:val="et-EE"/>
        </w:rPr>
        <w:tab/>
      </w:r>
      <w:r w:rsidRPr="008B5F79">
        <w:rPr>
          <w:szCs w:val="24"/>
          <w:lang w:val="et-EE"/>
        </w:rPr>
        <w:tab/>
      </w:r>
      <w:r w:rsidRPr="008B5F79">
        <w:rPr>
          <w:szCs w:val="24"/>
          <w:lang w:val="et-EE"/>
        </w:rPr>
        <w:tab/>
        <w:t>_______________________</w:t>
      </w:r>
    </w:p>
    <w:p w:rsidR="00843746" w:rsidRPr="008B5F79" w:rsidRDefault="00843746" w:rsidP="00843746">
      <w:pPr>
        <w:rPr>
          <w:szCs w:val="24"/>
          <w:lang w:val="et-EE"/>
        </w:rPr>
      </w:pPr>
    </w:p>
    <w:p w:rsidR="00843746" w:rsidRPr="008B5F79" w:rsidRDefault="00843746" w:rsidP="00843746">
      <w:pPr>
        <w:rPr>
          <w:szCs w:val="24"/>
          <w:lang w:val="et-EE"/>
        </w:rPr>
      </w:pPr>
      <w:r w:rsidRPr="008B5F79">
        <w:rPr>
          <w:szCs w:val="24"/>
          <w:lang w:val="et-EE"/>
        </w:rPr>
        <w:t>Ametinimetus</w:t>
      </w:r>
      <w:r w:rsidRPr="008B5F79">
        <w:rPr>
          <w:szCs w:val="24"/>
          <w:lang w:val="et-EE"/>
        </w:rPr>
        <w:tab/>
      </w:r>
      <w:r w:rsidRPr="008B5F79">
        <w:rPr>
          <w:szCs w:val="24"/>
          <w:lang w:val="et-EE"/>
        </w:rPr>
        <w:tab/>
        <w:t>_______________________</w:t>
      </w:r>
    </w:p>
    <w:p w:rsidR="00843746" w:rsidRPr="008B5F79" w:rsidRDefault="00843746" w:rsidP="00843746">
      <w:pPr>
        <w:ind w:firstLine="2127"/>
        <w:rPr>
          <w:szCs w:val="24"/>
          <w:lang w:val="et-EE"/>
        </w:rPr>
      </w:pPr>
      <w:r w:rsidRPr="008B5F79">
        <w:rPr>
          <w:sz w:val="22"/>
          <w:szCs w:val="22"/>
          <w:lang w:val="et-EE" w:eastAsia="et-EE"/>
        </w:rPr>
        <w:t>(</w:t>
      </w:r>
      <w:r w:rsidRPr="008B5F79">
        <w:rPr>
          <w:i/>
          <w:sz w:val="22"/>
          <w:szCs w:val="22"/>
          <w:lang w:val="et-EE" w:eastAsia="et-EE"/>
        </w:rPr>
        <w:t>allkirjastatud digitaalselt</w:t>
      </w:r>
      <w:r w:rsidRPr="008B5F79">
        <w:rPr>
          <w:sz w:val="22"/>
          <w:szCs w:val="22"/>
          <w:lang w:val="et-EE" w:eastAsia="et-EE"/>
        </w:rPr>
        <w:t>)</w:t>
      </w:r>
    </w:p>
    <w:p w:rsidR="007359FD" w:rsidRDefault="007359FD"/>
    <w:sectPr w:rsidR="007359FD" w:rsidSect="00735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87657"/>
    <w:multiLevelType w:val="multilevel"/>
    <w:tmpl w:val="88B62D1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46"/>
    <w:rsid w:val="00225DA2"/>
    <w:rsid w:val="007359FD"/>
    <w:rsid w:val="00754BC8"/>
    <w:rsid w:val="00843746"/>
    <w:rsid w:val="009C7F77"/>
    <w:rsid w:val="00F02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5714A-FF4B-4A35-AB66-0BB954BD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46"/>
    <w:pPr>
      <w:spacing w:after="0" w:line="240" w:lineRule="auto"/>
      <w:jc w:val="both"/>
    </w:pPr>
    <w:rPr>
      <w:rFonts w:eastAsia="Times New Roman"/>
      <w:szCs w:val="20"/>
      <w:lang w:val="en-GB"/>
    </w:rPr>
  </w:style>
  <w:style w:type="paragraph" w:styleId="Heading2">
    <w:name w:val="heading 2"/>
    <w:basedOn w:val="Normal"/>
    <w:next w:val="Normal"/>
    <w:link w:val="Heading2Char"/>
    <w:qFormat/>
    <w:rsid w:val="00843746"/>
    <w:pPr>
      <w:keepNext/>
      <w:outlineLvl w:val="1"/>
    </w:pPr>
    <w:rPr>
      <w:b/>
      <w:bCs/>
      <w:szCs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843746"/>
    <w:pPr>
      <w:widowControl w:val="0"/>
      <w:autoSpaceDE w:val="0"/>
      <w:autoSpaceDN w:val="0"/>
      <w:adjustRightInd w:val="0"/>
      <w:ind w:left="720" w:hanging="720"/>
      <w:jc w:val="left"/>
    </w:pPr>
    <w:rPr>
      <w:sz w:val="20"/>
      <w:szCs w:val="24"/>
      <w:lang w:val="en-US"/>
    </w:rPr>
  </w:style>
  <w:style w:type="paragraph" w:styleId="BodyText2">
    <w:name w:val="Body Text 2"/>
    <w:basedOn w:val="Normal"/>
    <w:link w:val="BodyText2Char"/>
    <w:semiHidden/>
    <w:rsid w:val="00843746"/>
    <w:rPr>
      <w:b/>
      <w:bCs/>
      <w:szCs w:val="24"/>
      <w:lang w:val="et-EE"/>
    </w:rPr>
  </w:style>
  <w:style w:type="character" w:customStyle="1" w:styleId="BodyText2Char">
    <w:name w:val="Body Text 2 Char"/>
    <w:basedOn w:val="DefaultParagraphFont"/>
    <w:link w:val="BodyText2"/>
    <w:semiHidden/>
    <w:rsid w:val="00843746"/>
    <w:rPr>
      <w:rFonts w:eastAsia="Times New Roman"/>
      <w:b/>
      <w:bCs/>
      <w:lang w:val="et-EE"/>
    </w:rPr>
  </w:style>
  <w:style w:type="character" w:customStyle="1" w:styleId="Heading2Char">
    <w:name w:val="Heading 2 Char"/>
    <w:basedOn w:val="DefaultParagraphFont"/>
    <w:link w:val="Heading2"/>
    <w:rsid w:val="00843746"/>
    <w:rPr>
      <w:rFonts w:eastAsia="Times New Roman"/>
      <w:b/>
      <w:bCs/>
      <w:lang w:val="et-EE"/>
    </w:rPr>
  </w:style>
  <w:style w:type="paragraph" w:customStyle="1" w:styleId="a0">
    <w:name w:val="Без интервала"/>
    <w:qFormat/>
    <w:rsid w:val="00843746"/>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Admin</cp:lastModifiedBy>
  <cp:revision>2</cp:revision>
  <cp:lastPrinted>2019-11-18T12:32:00Z</cp:lastPrinted>
  <dcterms:created xsi:type="dcterms:W3CDTF">2019-11-18T13:46:00Z</dcterms:created>
  <dcterms:modified xsi:type="dcterms:W3CDTF">2019-11-18T13:46:00Z</dcterms:modified>
</cp:coreProperties>
</file>