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F238E">
      <w:pPr>
        <w:framePr w:w="9093" w:h="2708" w:hSpace="181" w:wrap="notBeside" w:vAnchor="text" w:hAnchor="page" w:x="1701" w:y="1"/>
        <w:autoSpaceDE/>
        <w:autoSpaceDN/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val="en-US"/>
        </w:rPr>
        <w:drawing>
          <wp:inline distT="0" distB="0" distL="0" distR="0">
            <wp:extent cx="485775" cy="571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F106D">
      <w:pPr>
        <w:framePr w:w="9093" w:h="2708" w:hSpace="181" w:wrap="notBeside" w:vAnchor="text" w:hAnchor="page" w:x="1701" w:y="1"/>
        <w:autoSpaceDE/>
        <w:autoSpaceDN/>
        <w:jc w:val="center"/>
        <w:rPr>
          <w:rFonts w:ascii="Arial" w:hAnsi="Arial" w:cs="Arial"/>
          <w:b/>
          <w:bCs/>
          <w:sz w:val="16"/>
          <w:szCs w:val="16"/>
        </w:rPr>
      </w:pPr>
    </w:p>
    <w:p w:rsidR="00000000" w:rsidRDefault="00EF106D">
      <w:pPr>
        <w:framePr w:w="9093" w:h="2708" w:hSpace="181" w:wrap="notBeside" w:vAnchor="text" w:hAnchor="page" w:x="1701" w:y="1"/>
        <w:autoSpaceDE/>
        <w:autoSpaceDN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SILLAMÄE  LINNAVOLIKOGU</w:t>
      </w:r>
    </w:p>
    <w:p w:rsidR="00000000" w:rsidRDefault="00EF106D">
      <w:pPr>
        <w:framePr w:w="9093" w:h="2708" w:hSpace="181" w:wrap="notBeside" w:vAnchor="text" w:hAnchor="page" w:x="1701" w:y="1"/>
        <w:autoSpaceDE/>
        <w:autoSpaceDN/>
        <w:rPr>
          <w:rFonts w:ascii="Arial" w:hAnsi="Arial" w:cs="Arial"/>
          <w:sz w:val="24"/>
          <w:szCs w:val="24"/>
        </w:rPr>
      </w:pPr>
    </w:p>
    <w:p w:rsidR="00000000" w:rsidRDefault="00EF106D">
      <w:pPr>
        <w:framePr w:w="9093" w:h="2708" w:hSpace="181" w:wrap="notBeside" w:vAnchor="text" w:hAnchor="page" w:x="1701" w:y="1"/>
        <w:autoSpaceDE/>
        <w:autoSpaceDN/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  <w:r>
        <w:rPr>
          <w:rFonts w:ascii="Arial" w:hAnsi="Arial" w:cs="Arial"/>
          <w:b/>
          <w:bCs/>
          <w:spacing w:val="60"/>
          <w:sz w:val="28"/>
          <w:szCs w:val="28"/>
        </w:rPr>
        <w:t>MÄÄRUS</w:t>
      </w:r>
    </w:p>
    <w:p w:rsidR="00000000" w:rsidRDefault="00EF106D">
      <w:pPr>
        <w:framePr w:w="9093" w:h="2708" w:hSpace="181" w:wrap="notBeside" w:vAnchor="text" w:hAnchor="page" w:x="1701" w:y="1"/>
        <w:autoSpaceDE/>
        <w:autoSpaceDN/>
        <w:rPr>
          <w:rFonts w:ascii="Arial" w:hAnsi="Arial" w:cs="Arial"/>
          <w:b/>
          <w:bCs/>
          <w:sz w:val="24"/>
          <w:szCs w:val="24"/>
        </w:rPr>
      </w:pPr>
    </w:p>
    <w:p w:rsidR="00000000" w:rsidRDefault="00EF106D">
      <w:pPr>
        <w:framePr w:w="9093" w:h="2708" w:hSpace="181" w:wrap="notBeside" w:vAnchor="text" w:hAnchor="page" w:x="1701" w:y="1"/>
        <w:autoSpaceDE/>
        <w:autoSpaceDN/>
        <w:rPr>
          <w:sz w:val="24"/>
          <w:szCs w:val="24"/>
        </w:rPr>
      </w:pPr>
      <w:r>
        <w:rPr>
          <w:rFonts w:ascii="Arial" w:hAnsi="Arial" w:cs="Arial"/>
        </w:rPr>
        <w:t>Sillamäe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 aprill 2019. a nr ...</w:t>
      </w:r>
    </w:p>
    <w:p w:rsidR="00000000" w:rsidRDefault="00EF106D">
      <w:pPr>
        <w:pStyle w:val="NoSpacing"/>
        <w:jc w:val="both"/>
        <w:rPr>
          <w:sz w:val="24"/>
          <w:szCs w:val="24"/>
        </w:rPr>
      </w:pPr>
    </w:p>
    <w:p w:rsidR="00000000" w:rsidRDefault="00EF106D">
      <w:pPr>
        <w:pStyle w:val="NoSpacing"/>
        <w:jc w:val="both"/>
        <w:rPr>
          <w:b/>
          <w:bCs/>
          <w:sz w:val="24"/>
          <w:szCs w:val="24"/>
        </w:rPr>
      </w:pPr>
    </w:p>
    <w:p w:rsidR="00000000" w:rsidRDefault="00EF106D">
      <w:pPr>
        <w:pStyle w:val="NoSpacing"/>
        <w:jc w:val="both"/>
        <w:rPr>
          <w:b/>
          <w:bCs/>
          <w:sz w:val="24"/>
          <w:szCs w:val="24"/>
        </w:rPr>
      </w:pPr>
    </w:p>
    <w:p w:rsidR="00000000" w:rsidRDefault="00EF106D">
      <w:pPr>
        <w:pStyle w:val="NoSpacing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Projekti „Puuetega inimeste eluaseme füüsiline kohandamine“</w:t>
      </w:r>
    </w:p>
    <w:p w:rsidR="00000000" w:rsidRDefault="00EF106D">
      <w:pPr>
        <w:pStyle w:val="NoSpacing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toetuse andmise tingimused ja kord</w:t>
      </w:r>
    </w:p>
    <w:p w:rsidR="00000000" w:rsidRDefault="00EF106D">
      <w:pPr>
        <w:pStyle w:val="NoSpacing"/>
        <w:jc w:val="both"/>
        <w:rPr>
          <w:sz w:val="24"/>
          <w:szCs w:val="24"/>
        </w:rPr>
      </w:pPr>
    </w:p>
    <w:p w:rsidR="00000000" w:rsidRDefault="00EF106D">
      <w:pPr>
        <w:pStyle w:val="NoSpacing"/>
        <w:jc w:val="both"/>
        <w:rPr>
          <w:sz w:val="24"/>
          <w:szCs w:val="24"/>
        </w:rPr>
      </w:pPr>
    </w:p>
    <w:p w:rsidR="00000000" w:rsidRDefault="00EF106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Määrus kehtestatakse „</w:t>
      </w:r>
      <w:r>
        <w:rPr>
          <w:sz w:val="24"/>
          <w:szCs w:val="24"/>
        </w:rPr>
        <w:t xml:space="preserve">Kohaliku omavalitsuse korralduse seaduse“ § 22 lõike 1 punkti 5, „Sotsiaalhoolekande seaduse“ § 14 lõike 2 ja § 42 lõike 1 alusel ning kooskõlas Sotsiaalkaitseministri 26. veebruari 2018. a määruse nr 4 „Puuetega inimeste eluaseme füüsiline kohandamine“ § </w:t>
      </w:r>
      <w:r>
        <w:rPr>
          <w:sz w:val="24"/>
          <w:szCs w:val="24"/>
        </w:rPr>
        <w:t>24 lõike 1 punktiga 1.</w:t>
      </w:r>
    </w:p>
    <w:p w:rsidR="00000000" w:rsidRDefault="00EF106D">
      <w:pPr>
        <w:pStyle w:val="NoSpacing"/>
        <w:jc w:val="both"/>
        <w:rPr>
          <w:sz w:val="24"/>
          <w:szCs w:val="24"/>
        </w:rPr>
      </w:pPr>
    </w:p>
    <w:p w:rsidR="00000000" w:rsidRDefault="00EF106D">
      <w:pPr>
        <w:pStyle w:val="NoSpacing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Reguleerimisala</w:t>
      </w:r>
    </w:p>
    <w:p w:rsidR="00000000" w:rsidRDefault="00EF106D">
      <w:pPr>
        <w:pStyle w:val="NoSpacing"/>
        <w:jc w:val="both"/>
        <w:rPr>
          <w:sz w:val="16"/>
          <w:szCs w:val="16"/>
        </w:rPr>
      </w:pPr>
    </w:p>
    <w:p w:rsidR="00000000" w:rsidRDefault="00EF106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Määrusega kehtestatakse Sotsiaalkaitseministri 26. veebruari 2018. a määruse nr 4 „Puuetega inimeste eluaseme füüsiline kohandamine“ toetuse (edaspidi </w:t>
      </w:r>
      <w:r>
        <w:rPr>
          <w:i/>
          <w:iCs/>
          <w:sz w:val="24"/>
          <w:szCs w:val="24"/>
        </w:rPr>
        <w:t>toetus</w:t>
      </w:r>
      <w:r>
        <w:rPr>
          <w:sz w:val="24"/>
          <w:szCs w:val="24"/>
        </w:rPr>
        <w:t>) rakendamise tingimused ja kord Sillamäe linnas.</w:t>
      </w:r>
    </w:p>
    <w:p w:rsidR="00000000" w:rsidRDefault="00EF106D">
      <w:pPr>
        <w:pStyle w:val="NoSpacing"/>
        <w:jc w:val="both"/>
        <w:rPr>
          <w:sz w:val="24"/>
          <w:szCs w:val="24"/>
        </w:rPr>
      </w:pPr>
    </w:p>
    <w:p w:rsidR="00000000" w:rsidRDefault="00EF106D">
      <w:pPr>
        <w:pStyle w:val="NoSpacing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Õigustatud isikud</w:t>
      </w:r>
    </w:p>
    <w:p w:rsidR="00000000" w:rsidRDefault="00EF106D">
      <w:pPr>
        <w:pStyle w:val="NoSpacing"/>
        <w:jc w:val="both"/>
        <w:rPr>
          <w:sz w:val="16"/>
          <w:szCs w:val="16"/>
        </w:rPr>
      </w:pPr>
    </w:p>
    <w:p w:rsidR="00000000" w:rsidRDefault="00EF106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Toetust on õigus saada puudega isikul (edaspidi </w:t>
      </w:r>
      <w:r>
        <w:rPr>
          <w:i/>
          <w:iCs/>
          <w:sz w:val="24"/>
          <w:szCs w:val="24"/>
        </w:rPr>
        <w:t xml:space="preserve">taotleja </w:t>
      </w:r>
      <w:r>
        <w:rPr>
          <w:sz w:val="24"/>
          <w:szCs w:val="24"/>
        </w:rPr>
        <w:t>või</w:t>
      </w:r>
      <w:r>
        <w:rPr>
          <w:i/>
          <w:iCs/>
          <w:sz w:val="24"/>
          <w:szCs w:val="24"/>
        </w:rPr>
        <w:t xml:space="preserve"> kohanduse saaja</w:t>
      </w:r>
      <w:r>
        <w:rPr>
          <w:sz w:val="24"/>
          <w:szCs w:val="24"/>
        </w:rPr>
        <w:t>):</w:t>
      </w:r>
    </w:p>
    <w:p w:rsidR="00000000" w:rsidRDefault="00EF106D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kellel on puue „Puuetega inimeste sotsiaaltoetuste seaduse“ tähenduses;</w:t>
      </w:r>
    </w:p>
    <w:p w:rsidR="00000000" w:rsidRDefault="00EF106D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kelle liikuvusega seotud toiminguid, köögi- või hügieenitoiminguid on võimali</w:t>
      </w:r>
      <w:r>
        <w:rPr>
          <w:sz w:val="24"/>
          <w:szCs w:val="24"/>
        </w:rPr>
        <w:t>k parandada eluruumi kahandamisega;</w:t>
      </w:r>
    </w:p>
    <w:p w:rsidR="00000000" w:rsidRDefault="00EF106D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kelle rahvastikuregistrijärgne ja tegelik elukoht on aastaringseks elamiseks ette nähtud eluruum Sillamäe linna haldusterritooriumil.</w:t>
      </w:r>
    </w:p>
    <w:p w:rsidR="00000000" w:rsidRDefault="00EF106D">
      <w:pPr>
        <w:pStyle w:val="NoSpacing"/>
        <w:jc w:val="both"/>
        <w:rPr>
          <w:sz w:val="24"/>
          <w:szCs w:val="24"/>
        </w:rPr>
      </w:pPr>
    </w:p>
    <w:p w:rsidR="00000000" w:rsidRDefault="00EF106D">
      <w:pPr>
        <w:pStyle w:val="NoSpacing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Toetuse määramise üldpõhimõtted</w:t>
      </w:r>
    </w:p>
    <w:p w:rsidR="00000000" w:rsidRDefault="00EF106D">
      <w:pPr>
        <w:pStyle w:val="NoSpacing"/>
        <w:jc w:val="both"/>
        <w:rPr>
          <w:sz w:val="16"/>
          <w:szCs w:val="16"/>
        </w:rPr>
      </w:pPr>
    </w:p>
    <w:p w:rsidR="00000000" w:rsidRDefault="00EF106D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Toetust määratakse eluruumi võ</w:t>
      </w:r>
      <w:r>
        <w:rPr>
          <w:sz w:val="24"/>
          <w:szCs w:val="24"/>
        </w:rPr>
        <w:t xml:space="preserve">i selle juurdepääsu kohandamiseks, mida taotleja kasutab alaliseks elamiseks ja mis on taotleja või temaga samas eluruumis elava perekonnaliikme omandis või kasutuses (edaspidi </w:t>
      </w:r>
      <w:r>
        <w:rPr>
          <w:i/>
          <w:iCs/>
          <w:sz w:val="24"/>
          <w:szCs w:val="24"/>
        </w:rPr>
        <w:t>eluruum</w:t>
      </w:r>
      <w:r>
        <w:rPr>
          <w:sz w:val="24"/>
          <w:szCs w:val="24"/>
        </w:rPr>
        <w:t>).</w:t>
      </w:r>
    </w:p>
    <w:p w:rsidR="00000000" w:rsidRDefault="00EF106D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Toetust määratakse ehitustöödeks, mis vastavad õigusaktides sätes</w:t>
      </w:r>
      <w:r>
        <w:rPr>
          <w:sz w:val="24"/>
          <w:szCs w:val="24"/>
        </w:rPr>
        <w:t xml:space="preserve">tatud nõuetele ja soodustavad taotleja iseseisvat toimetulekut, leevendavad või kõrvaldavad puudest tingitud takistusi eluruumi kasutamisel (edaspidi </w:t>
      </w:r>
      <w:r>
        <w:rPr>
          <w:i/>
          <w:iCs/>
          <w:sz w:val="24"/>
          <w:szCs w:val="24"/>
        </w:rPr>
        <w:t>kohandamine</w:t>
      </w:r>
      <w:r>
        <w:rPr>
          <w:sz w:val="24"/>
          <w:szCs w:val="24"/>
        </w:rPr>
        <w:t>), sh:</w:t>
      </w:r>
    </w:p>
    <w:p w:rsidR="00000000" w:rsidRDefault="00EF106D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eluruumis liikumise parandamiseks, sealhulgas eluruumi sissepääsu, hoone välisukse ja</w:t>
      </w:r>
      <w:r>
        <w:rPr>
          <w:sz w:val="24"/>
          <w:szCs w:val="24"/>
        </w:rPr>
        <w:t xml:space="preserve"> eluruumi vahelise käigutee, hoone ja selle territooriumile sissepääsu või piirde kohandamist;</w:t>
      </w:r>
    </w:p>
    <w:p w:rsidR="00000000" w:rsidRDefault="00EF106D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hügieenitoimingute parandamiseks;</w:t>
      </w:r>
    </w:p>
    <w:p w:rsidR="00000000" w:rsidRDefault="00EF106D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köögitoimingute parandamiseks.</w:t>
      </w:r>
    </w:p>
    <w:p w:rsidR="00000000" w:rsidRDefault="00EF106D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Kohandamiseks ei loeta tehniliste abivahendite ostmise ja paigaldamise kulusid, kui te</w:t>
      </w:r>
      <w:r>
        <w:rPr>
          <w:sz w:val="24"/>
          <w:szCs w:val="24"/>
        </w:rPr>
        <w:t>hniline abivahend on võimalik osta riigi abil „Sotsiaalhoolekande seaduse“ või selle alusel kehtestatud määruse alusel.</w:t>
      </w:r>
    </w:p>
    <w:p w:rsidR="00000000" w:rsidRDefault="00EF106D">
      <w:pPr>
        <w:pStyle w:val="NoSpacing"/>
        <w:jc w:val="both"/>
        <w:rPr>
          <w:sz w:val="24"/>
          <w:szCs w:val="24"/>
        </w:rPr>
      </w:pPr>
    </w:p>
    <w:p w:rsidR="00000000" w:rsidRDefault="00EF106D">
      <w:pPr>
        <w:pStyle w:val="NoSpacing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Eluruumide kohandamise rahastamine</w:t>
      </w:r>
    </w:p>
    <w:p w:rsidR="00000000" w:rsidRDefault="00EF106D">
      <w:pPr>
        <w:pStyle w:val="NoSpacing"/>
        <w:jc w:val="both"/>
        <w:rPr>
          <w:sz w:val="16"/>
          <w:szCs w:val="16"/>
        </w:rPr>
      </w:pPr>
    </w:p>
    <w:p w:rsidR="00000000" w:rsidRDefault="00EF106D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Toetuse abikõlblikud kulud makstakse Sillamäe linnaeelarve vahenditest. </w:t>
      </w:r>
      <w:r>
        <w:rPr>
          <w:color w:val="202020"/>
          <w:sz w:val="24"/>
          <w:szCs w:val="24"/>
          <w:shd w:val="clear" w:color="auto" w:fill="FFFFFF"/>
        </w:rPr>
        <w:t>Sillamä</w:t>
      </w:r>
      <w:r>
        <w:rPr>
          <w:color w:val="202020"/>
          <w:sz w:val="24"/>
          <w:szCs w:val="24"/>
          <w:shd w:val="clear" w:color="auto" w:fill="FFFFFF"/>
        </w:rPr>
        <w:t>e linna omafinantseering on 15% abikõlblikest kuludest.</w:t>
      </w:r>
      <w:r>
        <w:rPr>
          <w:sz w:val="24"/>
          <w:szCs w:val="24"/>
        </w:rPr>
        <w:t xml:space="preserve"> Riik hüvitab Euroopa Regionaalarengu Fondist Sillamäe linnale 85% eluruumide kohandamise abikõlblikest kuludest.</w:t>
      </w:r>
    </w:p>
    <w:p w:rsidR="00000000" w:rsidRDefault="00EF106D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Eluruumi kohandamise maksumuse tasumisel lähtutakse Sotsiaalkaitseministri         </w:t>
      </w:r>
      <w:r>
        <w:rPr>
          <w:sz w:val="24"/>
          <w:szCs w:val="24"/>
        </w:rPr>
        <w:t xml:space="preserve">      26. veebruari 2018. a määruse nr 4 „Puuetega inimeste eluaseme füüsiline kohandamine“ lisas nimetatud standardiseeritud ühikuhindadest, nende puudumise korral tegelikest ja põhjendatud kuludest.</w:t>
      </w:r>
    </w:p>
    <w:p w:rsidR="00000000" w:rsidRDefault="00EF106D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Kohanduse saaja tasub tööde eest ise osas, mida ei </w:t>
      </w:r>
      <w:r>
        <w:rPr>
          <w:sz w:val="24"/>
          <w:szCs w:val="24"/>
        </w:rPr>
        <w:t>kaeta riigi ega Sillamäe linnaeelarve vahenditest, või osas, milles tööde tegelik maksumus ületab standardiseeritud ühikuhinda.</w:t>
      </w:r>
    </w:p>
    <w:p w:rsidR="00000000" w:rsidRDefault="00EF106D">
      <w:pPr>
        <w:pStyle w:val="NoSpacing"/>
        <w:jc w:val="both"/>
        <w:rPr>
          <w:sz w:val="24"/>
          <w:szCs w:val="24"/>
        </w:rPr>
      </w:pPr>
    </w:p>
    <w:p w:rsidR="00000000" w:rsidRDefault="00EF106D">
      <w:pPr>
        <w:pStyle w:val="NoSpacing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Toetuse taotlemine ja menetlemine</w:t>
      </w:r>
    </w:p>
    <w:p w:rsidR="00000000" w:rsidRDefault="00EF106D">
      <w:pPr>
        <w:pStyle w:val="NoSpacing"/>
        <w:jc w:val="both"/>
        <w:rPr>
          <w:sz w:val="16"/>
          <w:szCs w:val="16"/>
        </w:rPr>
      </w:pPr>
    </w:p>
    <w:p w:rsidR="00000000" w:rsidRDefault="00EF106D">
      <w:pPr>
        <w:pStyle w:val="NoSpacing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Toetuse taotlemise võimalustest avaldab Sillamäe Linnavalitsuse (edaspidi </w:t>
      </w:r>
      <w:r>
        <w:rPr>
          <w:i/>
          <w:iCs/>
          <w:sz w:val="24"/>
          <w:szCs w:val="24"/>
        </w:rPr>
        <w:t>linnavali</w:t>
      </w:r>
      <w:r>
        <w:rPr>
          <w:i/>
          <w:iCs/>
          <w:sz w:val="24"/>
          <w:szCs w:val="24"/>
        </w:rPr>
        <w:t>tsus</w:t>
      </w:r>
      <w:r>
        <w:rPr>
          <w:sz w:val="24"/>
          <w:szCs w:val="24"/>
        </w:rPr>
        <w:t xml:space="preserve">) sotsiaalhoolekande osakond (edaspidi </w:t>
      </w:r>
      <w:r>
        <w:rPr>
          <w:i/>
          <w:iCs/>
          <w:sz w:val="24"/>
          <w:szCs w:val="24"/>
        </w:rPr>
        <w:t>sotsiaalosakond</w:t>
      </w:r>
      <w:r>
        <w:rPr>
          <w:sz w:val="24"/>
          <w:szCs w:val="24"/>
        </w:rPr>
        <w:t>) linna veebilehel järgmise teabe:</w:t>
      </w:r>
    </w:p>
    <w:p w:rsidR="00000000" w:rsidRDefault="00EF106D">
      <w:pPr>
        <w:pStyle w:val="NoSpacing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taotluste esitamise tähtaeg, mis peab olema vähemalt 30 päeva;</w:t>
      </w:r>
    </w:p>
    <w:p w:rsidR="00000000" w:rsidRDefault="00EF106D">
      <w:pPr>
        <w:pStyle w:val="NoSpacing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kohanduste tegemise periood;</w:t>
      </w:r>
    </w:p>
    <w:p w:rsidR="00000000" w:rsidRDefault="00EF106D">
      <w:pPr>
        <w:pStyle w:val="NoSpacing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toetavate kohanduste arv kokku;</w:t>
      </w:r>
    </w:p>
    <w:p w:rsidR="00000000" w:rsidRDefault="00EF106D">
      <w:pPr>
        <w:pStyle w:val="NoSpacing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taotluste vastuvõtmise koht</w:t>
      </w:r>
      <w:r>
        <w:rPr>
          <w:sz w:val="24"/>
          <w:szCs w:val="24"/>
        </w:rPr>
        <w:t xml:space="preserve"> ja aeg; </w:t>
      </w:r>
    </w:p>
    <w:p w:rsidR="00000000" w:rsidRDefault="00EF106D">
      <w:pPr>
        <w:pStyle w:val="NoSpacing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taotluse kohustuslikud andmed.</w:t>
      </w:r>
    </w:p>
    <w:p w:rsidR="00000000" w:rsidRDefault="00EF106D">
      <w:pPr>
        <w:pStyle w:val="NoSpacing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Toetuse saamiseks esitatakse sotsiaalosakonnale kirjalik taotlus, milles märgitakse:</w:t>
      </w:r>
    </w:p>
    <w:p w:rsidR="00000000" w:rsidRDefault="00EF106D">
      <w:pPr>
        <w:pStyle w:val="NoSpacing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taotleja ees- ja perekonnanimi, isikukood ja kontaktandmed;</w:t>
      </w:r>
    </w:p>
    <w:p w:rsidR="00000000" w:rsidRDefault="00EF106D">
      <w:pPr>
        <w:pStyle w:val="NoSpacing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kohandatava eluruumi aadress ja kasutamise alus (leping, </w:t>
      </w:r>
      <w:r>
        <w:rPr>
          <w:sz w:val="24"/>
          <w:szCs w:val="24"/>
        </w:rPr>
        <w:t>omand, kaasomand);</w:t>
      </w:r>
    </w:p>
    <w:p w:rsidR="00000000" w:rsidRDefault="00EF106D">
      <w:pPr>
        <w:pStyle w:val="NoSpacing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eluruumi kohandamise eesmärk (liikuvusega seotud toimingute, köögi- või hügieenitoimingute parandamine).</w:t>
      </w:r>
    </w:p>
    <w:p w:rsidR="00000000" w:rsidRDefault="00EF106D">
      <w:pPr>
        <w:pStyle w:val="NoSpacing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Taotlusega koos esitatakse järgmised dokumendid:</w:t>
      </w:r>
    </w:p>
    <w:p w:rsidR="00000000" w:rsidRDefault="00EF106D">
      <w:pPr>
        <w:pStyle w:val="NoSpacing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puude määramise otsus;</w:t>
      </w:r>
    </w:p>
    <w:p w:rsidR="00000000" w:rsidRDefault="00EF106D">
      <w:pPr>
        <w:pStyle w:val="NoSpacing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kohandamise hinnapakkumine;</w:t>
      </w:r>
    </w:p>
    <w:p w:rsidR="00000000" w:rsidRDefault="00EF106D">
      <w:pPr>
        <w:pStyle w:val="NoSpacing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eluruumi kasutam</w:t>
      </w:r>
      <w:r>
        <w:rPr>
          <w:sz w:val="24"/>
          <w:szCs w:val="24"/>
        </w:rPr>
        <w:t>isleping, kui taotleja ei ole kohandatava eluruumi omanik;</w:t>
      </w:r>
    </w:p>
    <w:p w:rsidR="00000000" w:rsidRDefault="00EF106D">
      <w:pPr>
        <w:pStyle w:val="NoSpacing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eluruumi omaniku kirjalik nõusolek eluruumi kohandamiseks, kui taotleja ei ole kohandatava eluruumi omanik;</w:t>
      </w:r>
    </w:p>
    <w:p w:rsidR="00000000" w:rsidRDefault="00EF106D">
      <w:pPr>
        <w:pStyle w:val="NoSpacing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eluruumi kaasomaniku kirjalik nõ</w:t>
      </w:r>
      <w:r>
        <w:rPr>
          <w:sz w:val="24"/>
          <w:szCs w:val="24"/>
        </w:rPr>
        <w:t>usolek eluruumi kohandamiseks, kui taotleja ei ole kohandatava eluruumi ainuomanik;</w:t>
      </w:r>
    </w:p>
    <w:p w:rsidR="00000000" w:rsidRDefault="00EF106D">
      <w:pPr>
        <w:pStyle w:val="NoSpacing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korteriühistu nõusolek, kui eluruumi kohandamisega seonduvad tööd teostatakse väljaspool korteriomandi eriomandi eset;</w:t>
      </w:r>
    </w:p>
    <w:p w:rsidR="00000000" w:rsidRDefault="00EF106D">
      <w:pPr>
        <w:pStyle w:val="NoSpacing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olemasolu korral eksperdi hinnang eluruumi koha</w:t>
      </w:r>
      <w:r>
        <w:rPr>
          <w:sz w:val="24"/>
          <w:szCs w:val="24"/>
        </w:rPr>
        <w:t>ndamise vajaduse kohta.</w:t>
      </w:r>
    </w:p>
    <w:p w:rsidR="00000000" w:rsidRDefault="00EF106D">
      <w:pPr>
        <w:pStyle w:val="NoSpacing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Sotsiaalosakonna teenistuja registreerib taotlused saabumise järjestuses.</w:t>
      </w:r>
    </w:p>
    <w:p w:rsidR="00000000" w:rsidRDefault="00EF106D">
      <w:pPr>
        <w:pStyle w:val="NoSpacing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Kui taotleja jätab koos taotlusega esitamata nõutud andmed või dokumendid või kui taotluses on muid puudusi, määrab sotsiaalosakonna teenistuja taotle</w:t>
      </w:r>
      <w:r>
        <w:rPr>
          <w:sz w:val="24"/>
          <w:szCs w:val="24"/>
        </w:rPr>
        <w:t xml:space="preserve">jale tähtaja puuduste kõrvaldamiseks. </w:t>
      </w:r>
      <w:r>
        <w:rPr>
          <w:color w:val="202020"/>
          <w:sz w:val="24"/>
          <w:szCs w:val="24"/>
          <w:shd w:val="clear" w:color="auto" w:fill="FFFFFF"/>
        </w:rPr>
        <w:t>Puuduste tähtajaks kõrvaldamata jätmise korral jäetakse taotlus sotsiaalosakonna poolt läbi vaatamata</w:t>
      </w:r>
      <w:r>
        <w:rPr>
          <w:sz w:val="24"/>
          <w:szCs w:val="24"/>
        </w:rPr>
        <w:t>.</w:t>
      </w:r>
    </w:p>
    <w:p w:rsidR="00000000" w:rsidRDefault="00EF106D">
      <w:pPr>
        <w:pStyle w:val="NoSpacing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Sotsiaalosakonna teenistujal on õigus nõuda lisadokumente, sealhulgas täiendavate hinnapakkumiste esitamist, kü</w:t>
      </w:r>
      <w:r>
        <w:rPr>
          <w:sz w:val="24"/>
          <w:szCs w:val="24"/>
        </w:rPr>
        <w:t>lastada kohandamist vajavat eluruumi ning teha ettepanekuid säästlikumate lahenduste kasutamiseks, samuti kaasata vajadusel vastava ettevalmistusega linnavalitsuse ja Sotsiaalkindlusameti spetsialiste.</w:t>
      </w:r>
    </w:p>
    <w:p w:rsidR="00000000" w:rsidRDefault="00EF106D">
      <w:pPr>
        <w:pStyle w:val="NoSpacing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Taotluse menetlemise käigus teostab sotsiaalosakon</w:t>
      </w:r>
      <w:r>
        <w:rPr>
          <w:sz w:val="24"/>
          <w:szCs w:val="24"/>
        </w:rPr>
        <w:t>na teenistuja koos ehitus- ja maakorralduse osakonna spetsialistiga kodukülastuse kohandatavasse eluruumi, hinnates kohandamise eesmärki ja inimese toimetulekut liikumisel, hügieenitoimingute teostamisel jne, mille kohta koostatakse kodukülastusakt. Kodukü</w:t>
      </w:r>
      <w:r>
        <w:rPr>
          <w:sz w:val="24"/>
          <w:szCs w:val="24"/>
        </w:rPr>
        <w:t>lastusaktile lisatakse ka fotod.</w:t>
      </w:r>
    </w:p>
    <w:p w:rsidR="00000000" w:rsidRDefault="00EF106D">
      <w:pPr>
        <w:pStyle w:val="NoSpacing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Andmete esitamisest keeldumisel, ettenähtud tähtajaks esitamata jätmisel, valeandmete esitamisel, samuti juhul, kui taotleja ei lase sotsiaalosakonna teenistujal oma elukohta kontrollida, </w:t>
      </w:r>
      <w:r>
        <w:rPr>
          <w:color w:val="202020"/>
          <w:sz w:val="24"/>
          <w:szCs w:val="24"/>
          <w:shd w:val="clear" w:color="auto" w:fill="FFFFFF"/>
        </w:rPr>
        <w:t>võib linnavalitsuse sotsiaalkom</w:t>
      </w:r>
      <w:r>
        <w:rPr>
          <w:color w:val="202020"/>
          <w:sz w:val="24"/>
          <w:szCs w:val="24"/>
          <w:shd w:val="clear" w:color="auto" w:fill="FFFFFF"/>
        </w:rPr>
        <w:t>isjoni jätta taotlus läbi vaatamata</w:t>
      </w:r>
      <w:r>
        <w:rPr>
          <w:sz w:val="24"/>
          <w:szCs w:val="24"/>
        </w:rPr>
        <w:t>.</w:t>
      </w:r>
    </w:p>
    <w:p w:rsidR="00000000" w:rsidRDefault="00EF106D">
      <w:pPr>
        <w:pStyle w:val="NoSpacing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Sillamäe Linnavalitsuse sotsiaalkomisjon vaatab läbi esitatud dokumendid ja koostab menetlusse võetud taotlustest kronoloogilise järjekorra alusel nimekirja, mille põhjal koostatakse Rahandusministeeriumile esitatav</w:t>
      </w:r>
      <w:r>
        <w:rPr>
          <w:sz w:val="24"/>
          <w:szCs w:val="24"/>
        </w:rPr>
        <w:t xml:space="preserve"> taotlus.</w:t>
      </w:r>
    </w:p>
    <w:p w:rsidR="00000000" w:rsidRDefault="00EF106D">
      <w:pPr>
        <w:pStyle w:val="NoSpacing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Kui taotlusi on esitatud rohkem, kui on määratud kohanduste arv, jäetakse need järjekorda ja menetletakse järgmisel kohanduste tegemise perioodil. Taotleja peab kinnitama eelnevalt eelmisel perioodil esitatud kirjaliku taotluse kohasust.</w:t>
      </w:r>
    </w:p>
    <w:p w:rsidR="00000000" w:rsidRDefault="00EF106D">
      <w:pPr>
        <w:pStyle w:val="NoSpacing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Rahandusministeeriumile taotluse esitamise otsustab Sillamäe Linnavalitsus.</w:t>
      </w:r>
    </w:p>
    <w:p w:rsidR="00000000" w:rsidRDefault="00EF106D">
      <w:pPr>
        <w:pStyle w:val="NoSpacing"/>
        <w:jc w:val="both"/>
        <w:rPr>
          <w:sz w:val="24"/>
          <w:szCs w:val="24"/>
        </w:rPr>
      </w:pPr>
    </w:p>
    <w:p w:rsidR="00000000" w:rsidRDefault="00EF106D">
      <w:pPr>
        <w:pStyle w:val="NoSpacing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Toetuse määramine</w:t>
      </w:r>
    </w:p>
    <w:p w:rsidR="00000000" w:rsidRDefault="00EF106D">
      <w:pPr>
        <w:pStyle w:val="NoSpacing"/>
        <w:jc w:val="both"/>
        <w:rPr>
          <w:sz w:val="16"/>
          <w:szCs w:val="16"/>
        </w:rPr>
      </w:pPr>
    </w:p>
    <w:p w:rsidR="00000000" w:rsidRDefault="00EF106D">
      <w:pPr>
        <w:pStyle w:val="NoSpacing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Otsuse toetuse määramise või sellest keeldumise kohta teeb linnavalitsus pärast Rahandusministeeriumilt koondtaotluse rahuldamise otsuse saamist.</w:t>
      </w:r>
    </w:p>
    <w:p w:rsidR="00000000" w:rsidRDefault="00EF106D">
      <w:pPr>
        <w:pStyle w:val="NoSpacing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Kohanduse saajal on õigus saada käesoleva määruse alusel toetust eluruumi kohandamiseks ühel korral.</w:t>
      </w:r>
    </w:p>
    <w:p w:rsidR="00000000" w:rsidRDefault="00EF106D">
      <w:pPr>
        <w:pStyle w:val="NoSpacing"/>
        <w:jc w:val="both"/>
        <w:rPr>
          <w:sz w:val="24"/>
          <w:szCs w:val="24"/>
        </w:rPr>
      </w:pPr>
    </w:p>
    <w:p w:rsidR="00000000" w:rsidRDefault="00EF106D">
      <w:pPr>
        <w:pStyle w:val="NoSpacing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Kohandamise teostamine</w:t>
      </w:r>
    </w:p>
    <w:p w:rsidR="00000000" w:rsidRDefault="00EF106D">
      <w:pPr>
        <w:pStyle w:val="NoSpacing"/>
        <w:jc w:val="both"/>
        <w:rPr>
          <w:sz w:val="16"/>
          <w:szCs w:val="16"/>
        </w:rPr>
      </w:pPr>
    </w:p>
    <w:p w:rsidR="00000000" w:rsidRDefault="00EF106D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Sotsiaalosakonna juhataja sõlmib kohanduse saajaga toetuse kasutamise lepingu. Lepingus märgitakse:</w:t>
      </w:r>
    </w:p>
    <w:p w:rsidR="00000000" w:rsidRDefault="00EF106D">
      <w:pPr>
        <w:pStyle w:val="NoSpacing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kohandamise eesmä</w:t>
      </w:r>
      <w:r>
        <w:rPr>
          <w:sz w:val="24"/>
          <w:szCs w:val="24"/>
        </w:rPr>
        <w:t>rk;</w:t>
      </w:r>
    </w:p>
    <w:p w:rsidR="00000000" w:rsidRDefault="00EF106D">
      <w:pPr>
        <w:pStyle w:val="NoSpacing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tehtavad kohandustööd;</w:t>
      </w:r>
    </w:p>
    <w:p w:rsidR="00000000" w:rsidRDefault="00EF106D">
      <w:pPr>
        <w:pStyle w:val="NoSpacing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tööde tegemise tähtaeg;</w:t>
      </w:r>
    </w:p>
    <w:p w:rsidR="00000000" w:rsidRDefault="00EF106D">
      <w:pPr>
        <w:pStyle w:val="NoSpacing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tööde maksumus vastavalt soodsamale hinnapakkumusele;</w:t>
      </w:r>
    </w:p>
    <w:p w:rsidR="00000000" w:rsidRDefault="00EF106D">
      <w:pPr>
        <w:pStyle w:val="NoSpacing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poolte rahalised kohustused;</w:t>
      </w:r>
    </w:p>
    <w:p w:rsidR="00000000" w:rsidRDefault="00EF106D">
      <w:pPr>
        <w:pStyle w:val="NoSpacing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tööde eest tasumise kord ja tähtajad;</w:t>
      </w:r>
    </w:p>
    <w:p w:rsidR="00000000" w:rsidRDefault="00EF106D">
      <w:pPr>
        <w:pStyle w:val="NoSpacing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osapoolte õigused ja kohustused;</w:t>
      </w:r>
    </w:p>
    <w:p w:rsidR="00000000" w:rsidRDefault="00EF106D">
      <w:pPr>
        <w:pStyle w:val="NoSpacing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muud olulised tingimused.</w:t>
      </w:r>
    </w:p>
    <w:p w:rsidR="00000000" w:rsidRDefault="00EF106D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Kohandustööd peavad olema teostatud kooskõlas „Ehitusseadustikuga“ ja lõpetatud kokkulepitud ajal.</w:t>
      </w:r>
    </w:p>
    <w:p w:rsidR="00000000" w:rsidRDefault="00EF106D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Pärast tööde teostamist vaatab sotsiaalosakonna teenistuja koos ehitus- ja maakorralduse osakonna spetsialistiga kohandatud eluruumi üle, koostades ülean</w:t>
      </w:r>
      <w:r>
        <w:rPr>
          <w:sz w:val="24"/>
          <w:szCs w:val="24"/>
        </w:rPr>
        <w:t>dmise-vastuvõtmise akti koos kohandatud eluruumi fotodega. Märkuste puudumisel allkirjastatakse akt taotleja, töid teostanud tegija, ehitus- ja maakorralduse osakonna spetsialisti ja sotsiaalosakonna teenistuja poolt.</w:t>
      </w:r>
    </w:p>
    <w:p w:rsidR="00000000" w:rsidRDefault="00EF106D">
      <w:pPr>
        <w:pStyle w:val="NoSpacing"/>
        <w:jc w:val="both"/>
        <w:rPr>
          <w:sz w:val="24"/>
          <w:szCs w:val="24"/>
        </w:rPr>
      </w:pPr>
    </w:p>
    <w:p w:rsidR="00000000" w:rsidRDefault="00EF106D">
      <w:pPr>
        <w:pStyle w:val="NoSpacing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Toetuse maksmine</w:t>
      </w:r>
    </w:p>
    <w:p w:rsidR="00000000" w:rsidRDefault="00EF106D">
      <w:pPr>
        <w:pStyle w:val="NoSpacing"/>
        <w:jc w:val="both"/>
        <w:rPr>
          <w:b/>
          <w:bCs/>
          <w:sz w:val="16"/>
          <w:szCs w:val="16"/>
        </w:rPr>
      </w:pPr>
    </w:p>
    <w:p w:rsidR="00000000" w:rsidRDefault="00EF106D">
      <w:pPr>
        <w:pStyle w:val="NoSpacing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Toetus mak</w:t>
      </w:r>
      <w:r>
        <w:rPr>
          <w:sz w:val="24"/>
          <w:szCs w:val="24"/>
        </w:rPr>
        <w:t>stakse vastavalt kuludokumentidele või töid teostanud tegija poolt esitatud arve alusel.</w:t>
      </w:r>
    </w:p>
    <w:p w:rsidR="00000000" w:rsidRDefault="00EF106D">
      <w:pPr>
        <w:pStyle w:val="NoSpacing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Toetus makstakse tööde tegija pangakontole esitatud arve alusel 30 kalendripäeva jooksul pärast tööde üleandmise-vastuvõtmise akti allkirjastamist.</w:t>
      </w:r>
    </w:p>
    <w:p w:rsidR="00000000" w:rsidRDefault="00EF106D">
      <w:pPr>
        <w:pStyle w:val="NoSpacing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Linnavalits</w:t>
      </w:r>
      <w:r>
        <w:rPr>
          <w:sz w:val="24"/>
          <w:szCs w:val="24"/>
        </w:rPr>
        <w:t>use sotsiaalkomisjonil on õigus jätta toetus välja maksmata, kui tööd ei ole teostatud toetuse taotlemisel ja lepingu sõlmimisel esitatud dokumentide kohaselt või ei vasta käesoleva määrusega esitatud nõuetele.</w:t>
      </w:r>
    </w:p>
    <w:p w:rsidR="00000000" w:rsidRDefault="00EF106D">
      <w:pPr>
        <w:pStyle w:val="NoSpacing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Rahandusministeeriumi poolt taotluse rahu</w:t>
      </w:r>
      <w:r>
        <w:rPr>
          <w:sz w:val="24"/>
          <w:szCs w:val="24"/>
        </w:rPr>
        <w:t>ldamata jätmise korral hüvitatakse toetuse väljamaksmise kulud linnaeelarvest või riigieelarvest sotsiaalabi osutamiseks linnaeelarvesse eraldatud vahenditest (toetusfondi kaudu eraldatud sotsiaaltoetuste ja teenuste osutamise toetuse vahendid ning raske j</w:t>
      </w:r>
      <w:r>
        <w:rPr>
          <w:sz w:val="24"/>
          <w:szCs w:val="24"/>
        </w:rPr>
        <w:t>a sügava puudega laste abi osutamise toetus). Sel juhul otsustab toetuse määramise ja maksmise linnavalitsus eeldusel, et puuduvad toetuse maksmist välistavad asjaolud.</w:t>
      </w:r>
    </w:p>
    <w:p w:rsidR="00000000" w:rsidRDefault="00EF106D">
      <w:pPr>
        <w:pStyle w:val="NoSpacing"/>
        <w:jc w:val="both"/>
        <w:rPr>
          <w:b/>
          <w:bCs/>
          <w:sz w:val="24"/>
          <w:szCs w:val="24"/>
        </w:rPr>
      </w:pPr>
    </w:p>
    <w:p w:rsidR="00000000" w:rsidRDefault="00EF106D">
      <w:pPr>
        <w:pStyle w:val="NoSpacing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Järelkontroll ja kohanduse mõju hindamine</w:t>
      </w:r>
    </w:p>
    <w:p w:rsidR="00000000" w:rsidRDefault="00EF106D">
      <w:pPr>
        <w:pStyle w:val="NoSpacing"/>
        <w:jc w:val="both"/>
        <w:rPr>
          <w:sz w:val="16"/>
          <w:szCs w:val="16"/>
        </w:rPr>
      </w:pPr>
    </w:p>
    <w:p w:rsidR="00000000" w:rsidRDefault="00EF106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Sotsiaalosakond annab eluruumi kohanda</w:t>
      </w:r>
      <w:r>
        <w:rPr>
          <w:sz w:val="24"/>
          <w:szCs w:val="24"/>
        </w:rPr>
        <w:t>mise kohta kogutud ja analüüsitud teabe põhjal hinnangu meetme tegevuse tulemuslikkusele ja elluviimisele. Info kogumiseks on sotsiaalosakonnal õigus teha kohandatud eluruumis vaatlusi, küsitleda kohanduse saajat ja kohandatud eluruumi teisi kasutajaid.</w:t>
      </w:r>
    </w:p>
    <w:p w:rsidR="00000000" w:rsidRDefault="00EF106D">
      <w:pPr>
        <w:pStyle w:val="NoSpacing"/>
        <w:jc w:val="both"/>
        <w:rPr>
          <w:b/>
          <w:bCs/>
          <w:sz w:val="24"/>
          <w:szCs w:val="24"/>
        </w:rPr>
      </w:pPr>
    </w:p>
    <w:p w:rsidR="00000000" w:rsidRDefault="00EF106D">
      <w:pPr>
        <w:pStyle w:val="NoSpacing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Dokumentide säilitamine</w:t>
      </w:r>
    </w:p>
    <w:p w:rsidR="00000000" w:rsidRDefault="00EF106D">
      <w:pPr>
        <w:pStyle w:val="NoSpacing"/>
        <w:jc w:val="both"/>
        <w:rPr>
          <w:b/>
          <w:bCs/>
          <w:sz w:val="16"/>
          <w:szCs w:val="16"/>
        </w:rPr>
      </w:pPr>
    </w:p>
    <w:p w:rsidR="00000000" w:rsidRDefault="00EF106D">
      <w:pPr>
        <w:pStyle w:val="NoSpacing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Sotsiaalosakond säilitab määruse rakendamisel kogutud ja loodud dokumente seaduses sätestatud viisil ja tähtaegadel.</w:t>
      </w:r>
    </w:p>
    <w:p w:rsidR="00000000" w:rsidRDefault="00EF106D">
      <w:pPr>
        <w:pStyle w:val="NoSpacing"/>
        <w:jc w:val="both"/>
        <w:rPr>
          <w:sz w:val="24"/>
          <w:szCs w:val="24"/>
        </w:rPr>
      </w:pPr>
    </w:p>
    <w:p w:rsidR="00000000" w:rsidRDefault="00EF106D">
      <w:pPr>
        <w:pStyle w:val="NoSpacing"/>
        <w:jc w:val="both"/>
        <w:rPr>
          <w:sz w:val="24"/>
          <w:szCs w:val="24"/>
        </w:rPr>
      </w:pPr>
    </w:p>
    <w:p w:rsidR="00000000" w:rsidRDefault="00EF106D">
      <w:pPr>
        <w:pStyle w:val="NoSpacing"/>
        <w:jc w:val="both"/>
        <w:rPr>
          <w:sz w:val="24"/>
          <w:szCs w:val="24"/>
        </w:rPr>
      </w:pPr>
    </w:p>
    <w:p w:rsidR="00000000" w:rsidRDefault="00EF106D">
      <w:pPr>
        <w:pStyle w:val="NoSpacing"/>
        <w:jc w:val="both"/>
        <w:rPr>
          <w:sz w:val="24"/>
          <w:szCs w:val="24"/>
        </w:rPr>
      </w:pPr>
    </w:p>
    <w:p w:rsidR="00000000" w:rsidRDefault="00EF106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Jelena Koršunova</w:t>
      </w:r>
    </w:p>
    <w:p w:rsidR="00000000" w:rsidRDefault="00EF106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volikogu esimees</w:t>
      </w:r>
    </w:p>
    <w:p w:rsidR="00000000" w:rsidRDefault="00EF106D">
      <w:pPr>
        <w:pStyle w:val="NoSpacing"/>
        <w:jc w:val="both"/>
        <w:rPr>
          <w:sz w:val="24"/>
          <w:szCs w:val="24"/>
        </w:rPr>
      </w:pPr>
    </w:p>
    <w:p w:rsidR="00000000" w:rsidRDefault="00EF106D">
      <w:pPr>
        <w:pStyle w:val="NoSpacing"/>
        <w:jc w:val="both"/>
        <w:rPr>
          <w:sz w:val="24"/>
          <w:szCs w:val="24"/>
        </w:rPr>
      </w:pPr>
    </w:p>
    <w:p w:rsidR="00000000" w:rsidRDefault="00EF106D">
      <w:pPr>
        <w:pStyle w:val="NoSpacing"/>
        <w:jc w:val="both"/>
        <w:rPr>
          <w:sz w:val="24"/>
          <w:szCs w:val="24"/>
        </w:rPr>
      </w:pPr>
    </w:p>
    <w:p w:rsidR="00000000" w:rsidRDefault="00EF106D">
      <w:pPr>
        <w:pStyle w:val="NoSpacing"/>
        <w:jc w:val="both"/>
        <w:rPr>
          <w:sz w:val="24"/>
          <w:szCs w:val="24"/>
        </w:rPr>
      </w:pPr>
    </w:p>
    <w:p w:rsidR="00000000" w:rsidRDefault="00EF106D">
      <w:pPr>
        <w:pStyle w:val="NoSpacing"/>
        <w:jc w:val="both"/>
        <w:rPr>
          <w:sz w:val="24"/>
          <w:szCs w:val="24"/>
        </w:rPr>
      </w:pPr>
    </w:p>
    <w:p w:rsidR="00000000" w:rsidRDefault="00EF106D">
      <w:pPr>
        <w:pStyle w:val="NoSpacing"/>
        <w:jc w:val="both"/>
        <w:rPr>
          <w:sz w:val="24"/>
          <w:szCs w:val="24"/>
        </w:rPr>
      </w:pPr>
    </w:p>
    <w:p w:rsidR="00000000" w:rsidRDefault="00EF106D">
      <w:pPr>
        <w:pStyle w:val="NoSpacing"/>
        <w:jc w:val="both"/>
        <w:rPr>
          <w:sz w:val="24"/>
          <w:szCs w:val="24"/>
        </w:rPr>
      </w:pPr>
    </w:p>
    <w:p w:rsidR="00000000" w:rsidRDefault="00EF106D">
      <w:pPr>
        <w:pStyle w:val="NoSpacing"/>
        <w:jc w:val="both"/>
        <w:rPr>
          <w:sz w:val="24"/>
          <w:szCs w:val="24"/>
        </w:rPr>
      </w:pPr>
    </w:p>
    <w:p w:rsidR="00000000" w:rsidRDefault="00EF106D">
      <w:pPr>
        <w:pStyle w:val="NoSpacing"/>
        <w:jc w:val="both"/>
        <w:rPr>
          <w:sz w:val="24"/>
          <w:szCs w:val="24"/>
        </w:rPr>
      </w:pPr>
    </w:p>
    <w:p w:rsidR="00000000" w:rsidRDefault="00EF106D">
      <w:pPr>
        <w:pStyle w:val="NoSpacing"/>
        <w:jc w:val="both"/>
        <w:rPr>
          <w:sz w:val="24"/>
          <w:szCs w:val="24"/>
        </w:rPr>
      </w:pPr>
    </w:p>
    <w:p w:rsidR="00000000" w:rsidRDefault="00EF106D">
      <w:pPr>
        <w:pStyle w:val="NoSpacing"/>
        <w:jc w:val="both"/>
        <w:rPr>
          <w:sz w:val="24"/>
          <w:szCs w:val="24"/>
        </w:rPr>
      </w:pPr>
    </w:p>
    <w:p w:rsidR="00000000" w:rsidRDefault="00EF106D">
      <w:pPr>
        <w:pStyle w:val="NoSpacing"/>
        <w:jc w:val="both"/>
        <w:rPr>
          <w:sz w:val="24"/>
          <w:szCs w:val="24"/>
        </w:rPr>
      </w:pPr>
    </w:p>
    <w:p w:rsidR="00000000" w:rsidRDefault="00EF106D">
      <w:pPr>
        <w:pStyle w:val="NoSpacing"/>
        <w:jc w:val="both"/>
        <w:rPr>
          <w:sz w:val="24"/>
          <w:szCs w:val="24"/>
        </w:rPr>
      </w:pPr>
    </w:p>
    <w:p w:rsidR="00000000" w:rsidRDefault="00EF106D">
      <w:pPr>
        <w:pStyle w:val="NoSpacing"/>
        <w:jc w:val="both"/>
        <w:rPr>
          <w:sz w:val="24"/>
          <w:szCs w:val="24"/>
        </w:rPr>
      </w:pPr>
    </w:p>
    <w:p w:rsidR="00000000" w:rsidRDefault="00EF106D">
      <w:pPr>
        <w:pStyle w:val="NoSpacing"/>
        <w:jc w:val="both"/>
        <w:rPr>
          <w:sz w:val="24"/>
          <w:szCs w:val="24"/>
        </w:rPr>
      </w:pPr>
    </w:p>
    <w:p w:rsidR="00000000" w:rsidRDefault="00EF106D">
      <w:pPr>
        <w:pStyle w:val="NoSpacing"/>
        <w:jc w:val="both"/>
        <w:rPr>
          <w:sz w:val="24"/>
          <w:szCs w:val="24"/>
        </w:rPr>
      </w:pPr>
    </w:p>
    <w:p w:rsidR="00000000" w:rsidRDefault="00EF106D">
      <w:pPr>
        <w:pStyle w:val="NoSpacing"/>
        <w:jc w:val="both"/>
        <w:rPr>
          <w:sz w:val="24"/>
          <w:szCs w:val="24"/>
        </w:rPr>
      </w:pPr>
    </w:p>
    <w:p w:rsidR="00000000" w:rsidRDefault="00EF106D">
      <w:pPr>
        <w:pStyle w:val="NoSpacing"/>
        <w:jc w:val="both"/>
        <w:rPr>
          <w:sz w:val="24"/>
          <w:szCs w:val="24"/>
        </w:rPr>
      </w:pPr>
    </w:p>
    <w:p w:rsidR="00000000" w:rsidRDefault="00EF106D">
      <w:pPr>
        <w:pStyle w:val="NoSpacing"/>
        <w:jc w:val="both"/>
        <w:rPr>
          <w:sz w:val="24"/>
          <w:szCs w:val="24"/>
        </w:rPr>
      </w:pPr>
    </w:p>
    <w:p w:rsidR="00000000" w:rsidRDefault="00EF106D">
      <w:pPr>
        <w:pStyle w:val="NoSpacing"/>
        <w:jc w:val="both"/>
        <w:rPr>
          <w:sz w:val="24"/>
          <w:szCs w:val="24"/>
        </w:rPr>
      </w:pPr>
    </w:p>
    <w:p w:rsidR="00000000" w:rsidRDefault="00EF106D">
      <w:pPr>
        <w:pStyle w:val="NoSpacing"/>
        <w:jc w:val="both"/>
        <w:rPr>
          <w:sz w:val="24"/>
          <w:szCs w:val="24"/>
        </w:rPr>
      </w:pPr>
    </w:p>
    <w:p w:rsidR="00000000" w:rsidRDefault="00EF106D">
      <w:pPr>
        <w:pStyle w:val="NoSpacing"/>
        <w:jc w:val="both"/>
        <w:rPr>
          <w:sz w:val="24"/>
          <w:szCs w:val="24"/>
        </w:rPr>
      </w:pPr>
    </w:p>
    <w:p w:rsidR="00000000" w:rsidRDefault="00EF106D">
      <w:pPr>
        <w:pStyle w:val="NoSpacing"/>
        <w:jc w:val="both"/>
        <w:rPr>
          <w:sz w:val="24"/>
          <w:szCs w:val="24"/>
        </w:rPr>
      </w:pPr>
    </w:p>
    <w:p w:rsidR="00000000" w:rsidRDefault="00EF106D">
      <w:pPr>
        <w:pStyle w:val="NoSpacing"/>
        <w:jc w:val="both"/>
        <w:rPr>
          <w:sz w:val="24"/>
          <w:szCs w:val="24"/>
        </w:rPr>
      </w:pPr>
    </w:p>
    <w:p w:rsidR="00000000" w:rsidRDefault="00EF106D">
      <w:pPr>
        <w:pStyle w:val="NoSpacing"/>
        <w:jc w:val="both"/>
        <w:rPr>
          <w:sz w:val="24"/>
          <w:szCs w:val="24"/>
        </w:rPr>
      </w:pPr>
    </w:p>
    <w:p w:rsidR="00000000" w:rsidRDefault="00EF106D">
      <w:pPr>
        <w:pStyle w:val="NoSpacing"/>
        <w:jc w:val="both"/>
        <w:rPr>
          <w:sz w:val="24"/>
          <w:szCs w:val="24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988"/>
        <w:gridCol w:w="63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F106D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Eelnõu esitaja: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F106D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Sillamä</w:t>
            </w:r>
            <w:r>
              <w:rPr>
                <w:sz w:val="22"/>
                <w:szCs w:val="22"/>
              </w:rPr>
              <w:t>e Linnavalitsus, 18.04.2019. a    protokoll nr 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F106D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Eelnõu koostaja ja ettekandja: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F106D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sotsiaalhoolekande osakonna juhataja Tatjana Bolšakova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F106D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Kooskõlastused: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F106D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linnapea Tõnis Kalberg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F106D">
            <w:pPr>
              <w:pStyle w:val="NoSpacing"/>
              <w:jc w:val="both"/>
              <w:rPr>
                <w:sz w:val="22"/>
                <w:szCs w:val="22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F106D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aselinnapea Tatjana Ivanova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F106D">
            <w:pPr>
              <w:pStyle w:val="NoSpacing"/>
              <w:jc w:val="both"/>
              <w:rPr>
                <w:sz w:val="22"/>
                <w:szCs w:val="22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F106D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õigusnõunik Deniss Iškin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F106D">
            <w:pPr>
              <w:pStyle w:val="NoSpacing"/>
              <w:jc w:val="both"/>
              <w:rPr>
                <w:sz w:val="22"/>
                <w:szCs w:val="22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F106D">
            <w:pPr>
              <w:pStyle w:val="NoSpacing"/>
              <w:jc w:val="both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F106D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Vastuvõetud määrus</w:t>
            </w:r>
            <w:r>
              <w:rPr>
                <w:sz w:val="22"/>
                <w:szCs w:val="22"/>
              </w:rPr>
              <w:t xml:space="preserve"> saata: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F106D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Linnakantselei</w:t>
            </w:r>
          </w:p>
        </w:tc>
      </w:tr>
    </w:tbl>
    <w:p w:rsidR="00EF106D" w:rsidRDefault="00EF106D">
      <w:pPr>
        <w:pStyle w:val="NoSpacing"/>
        <w:jc w:val="both"/>
        <w:rPr>
          <w:sz w:val="24"/>
          <w:szCs w:val="24"/>
        </w:rPr>
      </w:pPr>
    </w:p>
    <w:sectPr w:rsidR="00EF106D">
      <w:footerReference w:type="default" r:id="rId8"/>
      <w:pgSz w:w="11907" w:h="16840" w:code="9"/>
      <w:pgMar w:top="1134" w:right="1134" w:bottom="1134" w:left="1701" w:header="284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06D" w:rsidRDefault="00EF106D">
      <w:r>
        <w:separator/>
      </w:r>
    </w:p>
  </w:endnote>
  <w:endnote w:type="continuationSeparator" w:id="0">
    <w:p w:rsidR="00EF106D" w:rsidRDefault="00EF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mbria">
    <w:altName w:val="Calisto MT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F10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06D" w:rsidRDefault="00EF106D">
      <w:r>
        <w:separator/>
      </w:r>
    </w:p>
  </w:footnote>
  <w:footnote w:type="continuationSeparator" w:id="0">
    <w:p w:rsidR="00EF106D" w:rsidRDefault="00EF1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2386D"/>
    <w:multiLevelType w:val="hybridMultilevel"/>
    <w:tmpl w:val="E286CF4E"/>
    <w:lvl w:ilvl="0" w:tplc="F77877F2">
      <w:start w:val="1"/>
      <w:numFmt w:val="decimal"/>
      <w:lvlText w:val="(%1)"/>
      <w:lvlJc w:val="left"/>
      <w:pPr>
        <w:ind w:left="567" w:hanging="567"/>
      </w:pPr>
      <w:rPr>
        <w:rFonts w:ascii="Times New Roman" w:hAnsi="Times New Roman" w:cs="Times New Roman"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6BC5A69"/>
    <w:multiLevelType w:val="hybridMultilevel"/>
    <w:tmpl w:val="24E4BC8C"/>
    <w:lvl w:ilvl="0" w:tplc="7FF45292">
      <w:start w:val="1"/>
      <w:numFmt w:val="decimal"/>
      <w:lvlText w:val="%1)"/>
      <w:lvlJc w:val="left"/>
      <w:pPr>
        <w:ind w:left="907" w:hanging="340"/>
      </w:pPr>
      <w:rPr>
        <w:rFonts w:ascii="Times New Roman" w:hAnsi="Times New Roman" w:cs="Times New Roman" w:hint="default"/>
      </w:rPr>
    </w:lvl>
    <w:lvl w:ilvl="1" w:tplc="0425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F07182B"/>
    <w:multiLevelType w:val="hybridMultilevel"/>
    <w:tmpl w:val="F880E110"/>
    <w:lvl w:ilvl="0" w:tplc="C0425F7E">
      <w:start w:val="1"/>
      <w:numFmt w:val="decimal"/>
      <w:lvlText w:val="%1)"/>
      <w:lvlJc w:val="left"/>
      <w:pPr>
        <w:tabs>
          <w:tab w:val="num" w:pos="987"/>
        </w:tabs>
        <w:ind w:left="98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44D67D1"/>
    <w:multiLevelType w:val="hybridMultilevel"/>
    <w:tmpl w:val="71B8250E"/>
    <w:lvl w:ilvl="0" w:tplc="69D80246">
      <w:start w:val="1"/>
      <w:numFmt w:val="decimal"/>
      <w:lvlText w:val="%1)"/>
      <w:lvlJc w:val="left"/>
      <w:pPr>
        <w:ind w:left="907" w:hanging="340"/>
      </w:pPr>
      <w:rPr>
        <w:rFonts w:ascii="Times New Roman" w:hAnsi="Times New Roman" w:cs="Times New Roman" w:hint="default"/>
      </w:rPr>
    </w:lvl>
    <w:lvl w:ilvl="1" w:tplc="0425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EEA7CD0"/>
    <w:multiLevelType w:val="hybridMultilevel"/>
    <w:tmpl w:val="F37A2622"/>
    <w:lvl w:ilvl="0" w:tplc="183C0E18">
      <w:start w:val="1"/>
      <w:numFmt w:val="decimal"/>
      <w:lvlText w:val="§ %1."/>
      <w:lvlJc w:val="left"/>
      <w:pPr>
        <w:ind w:left="567" w:hanging="567"/>
      </w:pPr>
      <w:rPr>
        <w:rFonts w:ascii="Times New Roman" w:hAnsi="Times New Roman" w:cs="Times New Roman"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FE523FA"/>
    <w:multiLevelType w:val="hybridMultilevel"/>
    <w:tmpl w:val="470616E8"/>
    <w:lvl w:ilvl="0" w:tplc="8E10A8B8">
      <w:start w:val="1"/>
      <w:numFmt w:val="decimal"/>
      <w:lvlText w:val="%1)"/>
      <w:lvlJc w:val="left"/>
      <w:pPr>
        <w:ind w:left="907" w:hanging="340"/>
      </w:pPr>
      <w:rPr>
        <w:rFonts w:ascii="Times New Roman" w:hAnsi="Times New Roman" w:cs="Times New Roman" w:hint="default"/>
      </w:rPr>
    </w:lvl>
    <w:lvl w:ilvl="1" w:tplc="0425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62A22EA"/>
    <w:multiLevelType w:val="hybridMultilevel"/>
    <w:tmpl w:val="25E87FA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387A5686"/>
    <w:multiLevelType w:val="hybridMultilevel"/>
    <w:tmpl w:val="3E5A4B94"/>
    <w:lvl w:ilvl="0" w:tplc="F77877F2">
      <w:start w:val="1"/>
      <w:numFmt w:val="decimal"/>
      <w:lvlText w:val="(%1)"/>
      <w:lvlJc w:val="left"/>
      <w:pPr>
        <w:ind w:left="567" w:hanging="567"/>
      </w:pPr>
      <w:rPr>
        <w:rFonts w:ascii="Times New Roman" w:hAnsi="Times New Roman" w:cs="Times New Roman"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491154AF"/>
    <w:multiLevelType w:val="hybridMultilevel"/>
    <w:tmpl w:val="2F1CA91A"/>
    <w:lvl w:ilvl="0" w:tplc="F77877F2">
      <w:start w:val="1"/>
      <w:numFmt w:val="decimal"/>
      <w:lvlText w:val="(%1)"/>
      <w:lvlJc w:val="left"/>
      <w:pPr>
        <w:ind w:left="567" w:hanging="567"/>
      </w:pPr>
      <w:rPr>
        <w:rFonts w:ascii="Times New Roman" w:hAnsi="Times New Roman" w:cs="Times New Roman"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9BA2BB3"/>
    <w:multiLevelType w:val="hybridMultilevel"/>
    <w:tmpl w:val="77E4F214"/>
    <w:lvl w:ilvl="0" w:tplc="04250011">
      <w:start w:val="1"/>
      <w:numFmt w:val="decimal"/>
      <w:lvlText w:val="%1)"/>
      <w:lvlJc w:val="left"/>
      <w:pPr>
        <w:ind w:left="567" w:hanging="567"/>
      </w:pPr>
      <w:rPr>
        <w:rFonts w:ascii="Times New Roman" w:hAnsi="Times New Roman" w:cs="Times New Roman"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55B55211"/>
    <w:multiLevelType w:val="hybridMultilevel"/>
    <w:tmpl w:val="3502DD20"/>
    <w:lvl w:ilvl="0" w:tplc="F77877F2">
      <w:start w:val="1"/>
      <w:numFmt w:val="decimal"/>
      <w:lvlText w:val="(%1)"/>
      <w:lvlJc w:val="left"/>
      <w:pPr>
        <w:ind w:left="567" w:hanging="567"/>
      </w:pPr>
      <w:rPr>
        <w:rFonts w:ascii="Times New Roman" w:hAnsi="Times New Roman" w:cs="Times New Roman"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5BE815B3"/>
    <w:multiLevelType w:val="hybridMultilevel"/>
    <w:tmpl w:val="33709994"/>
    <w:lvl w:ilvl="0" w:tplc="0D2EFE52">
      <w:start w:val="1"/>
      <w:numFmt w:val="decimal"/>
      <w:lvlText w:val="§ %1."/>
      <w:lvlJc w:val="left"/>
      <w:pPr>
        <w:ind w:left="567" w:hanging="567"/>
      </w:pPr>
      <w:rPr>
        <w:rFonts w:ascii="Times New Roman" w:hAnsi="Times New Roman" w:cs="Times New Roman"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5C946996"/>
    <w:multiLevelType w:val="hybridMultilevel"/>
    <w:tmpl w:val="DA7C48CC"/>
    <w:lvl w:ilvl="0" w:tplc="F77877F2">
      <w:start w:val="1"/>
      <w:numFmt w:val="decimal"/>
      <w:lvlText w:val="(%1)"/>
      <w:lvlJc w:val="left"/>
      <w:pPr>
        <w:ind w:left="567" w:hanging="567"/>
      </w:pPr>
      <w:rPr>
        <w:rFonts w:ascii="Times New Roman" w:hAnsi="Times New Roman" w:cs="Times New Roman"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6B7374B2"/>
    <w:multiLevelType w:val="hybridMultilevel"/>
    <w:tmpl w:val="0C7E9974"/>
    <w:lvl w:ilvl="0" w:tplc="6896BEF4">
      <w:start w:val="1"/>
      <w:numFmt w:val="decimal"/>
      <w:lvlText w:val="%1)"/>
      <w:lvlJc w:val="left"/>
      <w:pPr>
        <w:ind w:left="907" w:hanging="340"/>
      </w:pPr>
      <w:rPr>
        <w:rFonts w:ascii="Times New Roman" w:hAnsi="Times New Roman" w:cs="Times New Roman" w:hint="default"/>
      </w:rPr>
    </w:lvl>
    <w:lvl w:ilvl="1" w:tplc="0425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6EFB6FBC"/>
    <w:multiLevelType w:val="hybridMultilevel"/>
    <w:tmpl w:val="B29EDDE6"/>
    <w:lvl w:ilvl="0" w:tplc="8DC430A0">
      <w:start w:val="1"/>
      <w:numFmt w:val="decimal"/>
      <w:lvlText w:val="%1)"/>
      <w:lvlJc w:val="left"/>
      <w:pPr>
        <w:ind w:left="907" w:hanging="340"/>
      </w:pPr>
      <w:rPr>
        <w:rFonts w:ascii="Times New Roman" w:hAnsi="Times New Roman" w:cs="Times New Roman" w:hint="default"/>
      </w:rPr>
    </w:lvl>
    <w:lvl w:ilvl="1" w:tplc="0425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72545E47"/>
    <w:multiLevelType w:val="hybridMultilevel"/>
    <w:tmpl w:val="1F94E108"/>
    <w:lvl w:ilvl="0" w:tplc="F77877F2">
      <w:start w:val="1"/>
      <w:numFmt w:val="decimal"/>
      <w:lvlText w:val="(%1)"/>
      <w:lvlJc w:val="left"/>
      <w:pPr>
        <w:ind w:left="567" w:hanging="567"/>
      </w:pPr>
      <w:rPr>
        <w:rFonts w:ascii="Times New Roman" w:hAnsi="Times New Roman" w:cs="Times New Roman"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7B164F7A"/>
    <w:multiLevelType w:val="hybridMultilevel"/>
    <w:tmpl w:val="7076D0DA"/>
    <w:lvl w:ilvl="0" w:tplc="F77877F2">
      <w:start w:val="1"/>
      <w:numFmt w:val="decimal"/>
      <w:lvlText w:val="(%1)"/>
      <w:lvlJc w:val="left"/>
      <w:pPr>
        <w:ind w:left="567" w:hanging="567"/>
      </w:pPr>
      <w:rPr>
        <w:rFonts w:ascii="Times New Roman" w:hAnsi="Times New Roman" w:cs="Times New Roman"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3"/>
  </w:num>
  <w:num w:numId="5">
    <w:abstractNumId w:val="0"/>
  </w:num>
  <w:num w:numId="6">
    <w:abstractNumId w:val="16"/>
  </w:num>
  <w:num w:numId="7">
    <w:abstractNumId w:val="5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  <w:num w:numId="12">
    <w:abstractNumId w:val="6"/>
  </w:num>
  <w:num w:numId="13">
    <w:abstractNumId w:val="2"/>
  </w:num>
  <w:num w:numId="14">
    <w:abstractNumId w:val="13"/>
  </w:num>
  <w:num w:numId="15">
    <w:abstractNumId w:val="14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8E"/>
    <w:rsid w:val="00CF238E"/>
    <w:rsid w:val="00EF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A15B9C-86FB-4CA2-A27F-D8921401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t-EE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libri Light" w:hAnsi="Calibri Light" w:cs="Calibri Ligh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libri Light" w:hAnsi="Calibri Light" w:cs="Calibri Ligh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libri Light" w:hAnsi="Calibri Light" w:cs="Calibri Light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z w:val="24"/>
      <w:szCs w:val="24"/>
      <w:lang w:val="x-none" w:eastAsia="en-US"/>
    </w:rPr>
  </w:style>
  <w:style w:type="character" w:customStyle="1" w:styleId="1">
    <w:name w:val="Заголовок 1 Знак"/>
    <w:basedOn w:val="DefaultParagraphFont"/>
    <w:uiPriority w:val="99"/>
    <w:rPr>
      <w:rFonts w:ascii="Calibri Light" w:hAnsi="Calibri Light" w:cs="Calibri Light"/>
      <w:b/>
      <w:bCs/>
      <w:kern w:val="32"/>
      <w:sz w:val="32"/>
      <w:szCs w:val="32"/>
      <w:lang w:val="x-none" w:eastAsia="en-US"/>
    </w:rPr>
  </w:style>
  <w:style w:type="character" w:customStyle="1" w:styleId="2">
    <w:name w:val="Заголовок 2 Знак"/>
    <w:basedOn w:val="DefaultParagraphFont"/>
    <w:uiPriority w:val="99"/>
    <w:rPr>
      <w:rFonts w:ascii="Calibri Light" w:hAnsi="Calibri Light" w:cs="Calibri Light"/>
      <w:b/>
      <w:bCs/>
      <w:i/>
      <w:iCs/>
      <w:sz w:val="28"/>
      <w:szCs w:val="28"/>
      <w:lang w:val="x-none" w:eastAsia="en-US"/>
    </w:rPr>
  </w:style>
  <w:style w:type="character" w:customStyle="1" w:styleId="3">
    <w:name w:val="Заголовок 3 Знак"/>
    <w:basedOn w:val="DefaultParagraphFont"/>
    <w:uiPriority w:val="99"/>
    <w:rPr>
      <w:rFonts w:ascii="Calibri Light" w:hAnsi="Calibri Light" w:cs="Calibri Light"/>
      <w:b/>
      <w:bCs/>
      <w:sz w:val="26"/>
      <w:szCs w:val="26"/>
      <w:lang w:val="x-none" w:eastAsia="en-US"/>
    </w:rPr>
  </w:style>
  <w:style w:type="character" w:customStyle="1" w:styleId="4">
    <w:name w:val="Заголовок 4 Знак"/>
    <w:basedOn w:val="DefaultParagraphFont"/>
    <w:uiPriority w:val="99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character" w:customStyle="1" w:styleId="5">
    <w:name w:val="Заголовок 5 Знак"/>
    <w:basedOn w:val="DefaultParagraphFont"/>
    <w:uiPriority w:val="99"/>
    <w:rPr>
      <w:rFonts w:ascii="Times New Roman" w:hAnsi="Times New Roman" w:cs="Times New Roman"/>
      <w:b/>
      <w:bCs/>
      <w:i/>
      <w:iCs/>
      <w:sz w:val="26"/>
      <w:szCs w:val="26"/>
      <w:lang w:val="x-none" w:eastAsia="en-US"/>
    </w:rPr>
  </w:style>
  <w:style w:type="character" w:customStyle="1" w:styleId="6">
    <w:name w:val="Заголовок 6 Знак"/>
    <w:basedOn w:val="DefaultParagraphFont"/>
    <w:uiPriority w:val="99"/>
    <w:rPr>
      <w:rFonts w:ascii="Times New Roman" w:hAnsi="Times New Roman" w:cs="Times New Roman"/>
      <w:b/>
      <w:bCs/>
      <w:lang w:val="x-none" w:eastAsia="en-US"/>
    </w:rPr>
  </w:style>
  <w:style w:type="character" w:customStyle="1" w:styleId="7">
    <w:name w:val="Заголовок 7 Знак"/>
    <w:basedOn w:val="DefaultParagraphFont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character" w:customStyle="1" w:styleId="8">
    <w:name w:val="Заголовок 8 Знак"/>
    <w:basedOn w:val="DefaultParagraphFont"/>
    <w:uiPriority w:val="99"/>
    <w:rPr>
      <w:rFonts w:ascii="Times New Roman" w:hAnsi="Times New Roman" w:cs="Times New Roman"/>
      <w:i/>
      <w:iCs/>
      <w:sz w:val="24"/>
      <w:szCs w:val="24"/>
      <w:lang w:val="x-none" w:eastAsia="en-US"/>
    </w:rPr>
  </w:style>
  <w:style w:type="character" w:customStyle="1" w:styleId="Pealkiri1Mrk">
    <w:name w:val="Pealkiri 1 Märk"/>
    <w:basedOn w:val="DefaultParagraphFont"/>
    <w:uiPriority w:val="99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Pealkiri2Mrk">
    <w:name w:val="Pealkiri 2 Märk"/>
    <w:basedOn w:val="DefaultParagraphFont"/>
    <w:uiPriority w:val="99"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Pealkiri3Mrk">
    <w:name w:val="Pealkiri 3 Märk"/>
    <w:basedOn w:val="DefaultParagraphFont"/>
    <w:uiPriority w:val="99"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Pealkiri4Mrk">
    <w:name w:val="Pealkiri 4 Märk"/>
    <w:basedOn w:val="DefaultParagraphFont"/>
    <w:uiPriority w:val="99"/>
    <w:rPr>
      <w:rFonts w:ascii="Calibri" w:hAnsi="Calibri" w:cs="Calibri"/>
      <w:b/>
      <w:bCs/>
      <w:sz w:val="28"/>
      <w:szCs w:val="28"/>
      <w:lang w:val="x-none" w:eastAsia="en-US"/>
    </w:rPr>
  </w:style>
  <w:style w:type="character" w:customStyle="1" w:styleId="Pealkiri5Mrk">
    <w:name w:val="Pealkiri 5 Märk"/>
    <w:basedOn w:val="DefaultParagraphFont"/>
    <w:uiPriority w:val="99"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Pealkiri6Mrk">
    <w:name w:val="Pealkiri 6 Märk"/>
    <w:basedOn w:val="DefaultParagraphFont"/>
    <w:uiPriority w:val="99"/>
    <w:rPr>
      <w:rFonts w:ascii="Calibri" w:hAnsi="Calibri" w:cs="Calibri"/>
      <w:b/>
      <w:bCs/>
      <w:lang w:val="x-none" w:eastAsia="en-US"/>
    </w:rPr>
  </w:style>
  <w:style w:type="character" w:customStyle="1" w:styleId="Pealkiri7Mrk">
    <w:name w:val="Pealkiri 7 Märk"/>
    <w:basedOn w:val="DefaultParagraphFont"/>
    <w:uiPriority w:val="99"/>
    <w:rPr>
      <w:rFonts w:ascii="Calibri" w:hAnsi="Calibri" w:cs="Calibri"/>
      <w:sz w:val="24"/>
      <w:szCs w:val="24"/>
      <w:lang w:val="x-none" w:eastAsia="en-US"/>
    </w:rPr>
  </w:style>
  <w:style w:type="character" w:customStyle="1" w:styleId="Pealkiri8Mrk">
    <w:name w:val="Pealkiri 8 Märk"/>
    <w:basedOn w:val="DefaultParagraphFont"/>
    <w:uiPriority w:val="99"/>
    <w:rPr>
      <w:rFonts w:ascii="Calibri" w:hAnsi="Calibri" w:cs="Calibri"/>
      <w:i/>
      <w:iCs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Pr>
      <w:color w:val="00000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a">
    <w:name w:val="Основной текст Знак"/>
    <w:basedOn w:val="DefaultParagraphFont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KehatekstMrk">
    <w:name w:val="Kehatekst Märk"/>
    <w:basedOn w:val="DefaultParagraphFont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paragraph" w:customStyle="1" w:styleId="Preformatted">
    <w:name w:val="Preformatted"/>
    <w:basedOn w:val="Normal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20">
    <w:name w:val="Основной текст 2 Знак"/>
    <w:basedOn w:val="DefaultParagraphFont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aandegakehatekstMrk">
    <w:name w:val="Taandega kehatekst Märk"/>
    <w:basedOn w:val="DefaultParagraphFont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a0">
    <w:name w:val="Нижний колонтитул Знак"/>
    <w:basedOn w:val="DefaultParagraphFont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JalusMrk">
    <w:name w:val="Jalus Märk"/>
    <w:basedOn w:val="DefaultParagraphFont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a1">
    <w:name w:val="Текст сноски Знак"/>
    <w:basedOn w:val="DefaultParagraphFont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AllmrkusetekstMrk">
    <w:name w:val="Allmärkuse tekst Märk"/>
    <w:basedOn w:val="DefaultParagraphFont"/>
    <w:uiPriority w:val="99"/>
    <w:rPr>
      <w:rFonts w:ascii="Times New Roman" w:hAnsi="Times New Roman" w:cs="Times New Roman"/>
      <w:lang w:val="x-none" w:eastAsia="en-US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auto"/>
      <w:u w:val="single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  <w:lang w:eastAsia="et-EE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a2">
    <w:name w:val="Текст примечания Знак"/>
    <w:basedOn w:val="DefaultParagraphFont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KommentaaritekstMrk">
    <w:name w:val="Kommentaari tekst Märk"/>
    <w:basedOn w:val="DefaultParagraphFont"/>
    <w:uiPriority w:val="99"/>
    <w:rPr>
      <w:rFonts w:ascii="Times New Roman" w:hAnsi="Times New Roman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a3">
    <w:name w:val="Тема примечания Знак"/>
    <w:basedOn w:val="a2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KommentaariteemaMrk">
    <w:name w:val="Kommentaari teema Märk"/>
    <w:basedOn w:val="KommentaaritekstMrk"/>
    <w:uiPriority w:val="99"/>
    <w:rPr>
      <w:rFonts w:ascii="Times New Roman" w:hAnsi="Times New Roman"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  <w:lang w:val="x-none" w:eastAsia="en-US"/>
    </w:rPr>
  </w:style>
  <w:style w:type="character" w:customStyle="1" w:styleId="a4">
    <w:name w:val="Текст выноски Знак"/>
    <w:basedOn w:val="DefaultParagraphFont"/>
    <w:uiPriority w:val="99"/>
    <w:rPr>
      <w:rFonts w:ascii="Segoe UI" w:hAnsi="Segoe UI" w:cs="Segoe UI"/>
      <w:sz w:val="18"/>
      <w:szCs w:val="18"/>
      <w:lang w:val="x-none" w:eastAsia="en-US"/>
    </w:rPr>
  </w:style>
  <w:style w:type="character" w:customStyle="1" w:styleId="JutumullitekstMrk">
    <w:name w:val="Jutumullitekst Märk"/>
    <w:basedOn w:val="DefaultParagraphFont"/>
    <w:uiPriority w:val="99"/>
    <w:rPr>
      <w:rFonts w:ascii="Segoe UI" w:hAnsi="Segoe UI" w:cs="Segoe UI"/>
      <w:sz w:val="18"/>
      <w:szCs w:val="18"/>
      <w:lang w:val="x-none" w:eastAsia="en-US"/>
    </w:rPr>
  </w:style>
  <w:style w:type="character" w:customStyle="1" w:styleId="tyhik">
    <w:name w:val="tyhik"/>
    <w:basedOn w:val="DefaultParagraphFont"/>
    <w:uiPriority w:val="99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NoSpacing">
    <w:name w:val="No Spacing"/>
    <w:uiPriority w:val="99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t-EE"/>
    </w:rPr>
  </w:style>
  <w:style w:type="paragraph" w:customStyle="1" w:styleId="10">
    <w:name w:val="Без интервала1"/>
    <w:uiPriority w:val="99"/>
    <w:pPr>
      <w:spacing w:after="0" w:line="240" w:lineRule="auto"/>
    </w:pPr>
    <w:rPr>
      <w:rFonts w:ascii="Calibri" w:hAnsi="Calibri" w:cs="Calibri"/>
      <w:lang w:val="ru-RU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a5">
    <w:name w:val="Верхний колонтитул Знак"/>
    <w:basedOn w:val="DefaultParagraphFont"/>
    <w:uiPriority w:val="99"/>
    <w:rPr>
      <w:rFonts w:ascii="Times New Roman" w:hAnsi="Times New Roman" w:cs="Times New Roman"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Määrus</vt:lpstr>
    </vt:vector>
  </TitlesOfParts>
  <Company>Viljandi Linnavalitsus</Company>
  <LinksUpToDate>false</LinksUpToDate>
  <CharactersWithSpaces>8830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Määrus</dc:title>
  <dc:subject/>
  <dc:creator>Kadri Kobin</dc:creator>
  <cp:keywords/>
  <dc:description/>
  <cp:lastModifiedBy>Admin</cp:lastModifiedBy>
  <cp:revision>2</cp:revision>
  <cp:lastPrinted>2019-04-17T06:20:00Z</cp:lastPrinted>
  <dcterms:created xsi:type="dcterms:W3CDTF">2019-04-18T13:35:00Z</dcterms:created>
  <dcterms:modified xsi:type="dcterms:W3CDTF">2019-04-18T13:35:00Z</dcterms:modified>
</cp:coreProperties>
</file>