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A5" w:rsidRPr="00530750" w:rsidRDefault="00807F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0750">
        <w:rPr>
          <w:rFonts w:ascii="Times New Roman" w:hAnsi="Times New Roman"/>
          <w:b/>
          <w:sz w:val="24"/>
          <w:szCs w:val="24"/>
        </w:rPr>
        <w:t>Seletuskiri</w:t>
      </w:r>
    </w:p>
    <w:p w:rsidR="008B7DA5" w:rsidRPr="00530750" w:rsidRDefault="00807F5E">
      <w:pPr>
        <w:pStyle w:val="2"/>
        <w:jc w:val="both"/>
        <w:rPr>
          <w:i/>
          <w:sz w:val="24"/>
          <w:szCs w:val="24"/>
        </w:rPr>
      </w:pPr>
      <w:r w:rsidRPr="00530750">
        <w:rPr>
          <w:i/>
          <w:sz w:val="24"/>
          <w:szCs w:val="24"/>
        </w:rPr>
        <w:t xml:space="preserve">Sillamäe Linnavolikogu 29. septembri 2015. a määruse nr 39 </w:t>
      </w:r>
      <w:r w:rsidRPr="00530750">
        <w:rPr>
          <w:i/>
          <w:sz w:val="24"/>
          <w:szCs w:val="24"/>
        </w:rPr>
        <w:t>„Sillamäe linna spordiorganisatsioonidele toetuse andmise kord “ muutmine</w:t>
      </w:r>
    </w:p>
    <w:p w:rsidR="008B7DA5" w:rsidRPr="00530750" w:rsidRDefault="008B7D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7DA5" w:rsidRPr="00530750" w:rsidRDefault="00807F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0750">
        <w:rPr>
          <w:rFonts w:ascii="Times New Roman" w:hAnsi="Times New Roman"/>
          <w:sz w:val="24"/>
          <w:szCs w:val="24"/>
        </w:rPr>
        <w:t>Määruse muutmise vajaduse tingisid asjaolud, mis ilmnesid 2016. aastal spordiklubidele toetuse jaotamisel</w:t>
      </w:r>
      <w:r w:rsidRPr="00530750">
        <w:rPr>
          <w:rFonts w:ascii="Times New Roman" w:hAnsi="Times New Roman"/>
          <w:sz w:val="24"/>
          <w:szCs w:val="24"/>
        </w:rPr>
        <w:t xml:space="preserve"> ning selle kasutamise kontrollimisel. Muudatused võimaldavad üheselt aru saada toetuse eraldamise tingimustest ning seejuures arvestada spordiklubi tegevuse erinevaid tahke.</w:t>
      </w:r>
    </w:p>
    <w:p w:rsidR="00530750" w:rsidRPr="00530750" w:rsidRDefault="005307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7DA5" w:rsidRPr="00530750" w:rsidRDefault="00807F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0750">
        <w:rPr>
          <w:rFonts w:ascii="Times New Roman" w:hAnsi="Times New Roman"/>
          <w:sz w:val="24"/>
          <w:szCs w:val="24"/>
        </w:rPr>
        <w:t>Muudatusettepanekud on: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 xml:space="preserve">§ 1 lõige 5 </w:t>
      </w:r>
      <w:r w:rsidRPr="00530750">
        <w:rPr>
          <w:sz w:val="24"/>
          <w:szCs w:val="24"/>
        </w:rPr>
        <w:t xml:space="preserve">– </w:t>
      </w:r>
      <w:r w:rsidRPr="00530750">
        <w:rPr>
          <w:sz w:val="24"/>
          <w:szCs w:val="24"/>
        </w:rPr>
        <w:t>toetuse määramise tingimustele lisatakse ve</w:t>
      </w:r>
      <w:r w:rsidRPr="00530750">
        <w:rPr>
          <w:sz w:val="24"/>
          <w:szCs w:val="24"/>
        </w:rPr>
        <w:t xml:space="preserve">el üks, mille järgi arvestatakse </w:t>
      </w:r>
      <w:r w:rsidRPr="00530750">
        <w:rPr>
          <w:sz w:val="24"/>
          <w:szCs w:val="24"/>
        </w:rPr>
        <w:t>spordiklubi treeningutel osalevate laste ja noorte arvu kontrolli tulemusi. Sillamäe Linnavalitsus teostab iga-aastaselt spordiklubide kontrolli, mille käigus fikseeritakse treeningutest osavõtt, seetõttu on m</w:t>
      </w:r>
      <w:r w:rsidRPr="00530750">
        <w:rPr>
          <w:sz w:val="24"/>
          <w:szCs w:val="24"/>
        </w:rPr>
        <w:t>õistlik arvest</w:t>
      </w:r>
      <w:r w:rsidRPr="00530750">
        <w:rPr>
          <w:sz w:val="24"/>
          <w:szCs w:val="24"/>
        </w:rPr>
        <w:t>ada nimetatud mõõdikut toetuse suuruse arvestamisel. Näiteks, kui trennis on vähe osalejad, ei toeta linnavalitsus spordiklubi 100% ulatuses, vaid väiksemas mahus (vastav arvutustabel on toodud korra lisas 4).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§ 1 lg 6 punktis 2 asendatakse</w:t>
      </w:r>
      <w:r w:rsidRPr="00530750">
        <w:rPr>
          <w:sz w:val="24"/>
          <w:szCs w:val="24"/>
        </w:rPr>
        <w:t xml:space="preserve"> treeneri kutse </w:t>
      </w:r>
      <w:r w:rsidRPr="00530750">
        <w:rPr>
          <w:sz w:val="24"/>
          <w:szCs w:val="24"/>
        </w:rPr>
        <w:t>nimetus „Eesti Olümpiakomitee atesteeritud kategooria” nimetusega „kutsekvalifikatsioon“, mis tuleneb „Spordiseadusest“.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§ 2 punkt</w:t>
      </w:r>
      <w:r w:rsidRPr="00530750">
        <w:rPr>
          <w:sz w:val="24"/>
          <w:szCs w:val="24"/>
        </w:rPr>
        <w:t xml:space="preserve"> 2 jäetakse välja, kuna linnavalitsusel puudub kohustus kooskõlastada toetuse jaotamist MTÜga Sillamäe Spordiliit Kalev.</w:t>
      </w:r>
    </w:p>
    <w:p w:rsidR="008B7DA5" w:rsidRPr="00530750" w:rsidRDefault="00807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>§-s 2</w:t>
      </w:r>
      <w:r w:rsidRPr="00530750">
        <w:rPr>
          <w:rFonts w:ascii="Times New Roman" w:hAnsi="Times New Roman"/>
          <w:sz w:val="24"/>
          <w:szCs w:val="24"/>
        </w:rPr>
        <w:t xml:space="preserve"> täiendatakse mõistet „andekas sportlane“, st et andeka sportlase toetust saab sportlane, kes esindab erinevatel võistlustel ainult kas Eesti Vabariiki, Sillamäe linna või Sillamäe linna klubi.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§ 3 lõige 2 punkt 5 -  toetuse taotlusele lisab spordi</w:t>
      </w:r>
      <w:r w:rsidRPr="00530750">
        <w:rPr>
          <w:sz w:val="24"/>
          <w:szCs w:val="24"/>
        </w:rPr>
        <w:t xml:space="preserve">klubi erinevat infot oma tegevuse kohta, täiendavalt tuleb klubil esitada </w:t>
      </w:r>
      <w:r w:rsidRPr="00530750">
        <w:rPr>
          <w:sz w:val="24"/>
          <w:szCs w:val="24"/>
        </w:rPr>
        <w:t>treeningrühmade loetelu ja treeneri nimi, kes rühmaga tegeleb.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§ 3 lõige 2 punkt 6 – tuuakse sisse tingimus, et lapsevanema või hooldaja avaldus lapse spordiklubisse vastuvõtmiseks o</w:t>
      </w:r>
      <w:r w:rsidRPr="00530750">
        <w:rPr>
          <w:sz w:val="24"/>
          <w:szCs w:val="24"/>
        </w:rPr>
        <w:t>n allkirjastatud digitaalselt.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§ 4</w:t>
      </w:r>
      <w:r>
        <w:rPr>
          <w:sz w:val="24"/>
          <w:szCs w:val="24"/>
        </w:rPr>
        <w:t xml:space="preserve"> lõikes 4</w:t>
      </w:r>
      <w:r w:rsidRPr="00530750">
        <w:rPr>
          <w:sz w:val="24"/>
          <w:szCs w:val="24"/>
        </w:rPr>
        <w:t xml:space="preserve"> jäetakse välja sõnad „ning teavitab otsusest spordiliitu”, kuna kõik Sillamäe linna spordiorganisatsioonid on MTÜ Sillamäe Spordiliit Kalev liikmed ning kõigile edastatakse info eraldatud toetuse kohta. 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L</w:t>
      </w:r>
      <w:r w:rsidRPr="00530750">
        <w:rPr>
          <w:sz w:val="24"/>
          <w:szCs w:val="24"/>
        </w:rPr>
        <w:t>isas 2 lihtsusta</w:t>
      </w:r>
      <w:r w:rsidRPr="00530750">
        <w:rPr>
          <w:sz w:val="24"/>
          <w:szCs w:val="24"/>
        </w:rPr>
        <w:t>takse avalduse vormi, lisatakse sõnad</w:t>
      </w:r>
      <w:r>
        <w:rPr>
          <w:sz w:val="24"/>
          <w:szCs w:val="24"/>
        </w:rPr>
        <w:t xml:space="preserve"> „/allkirjastatud digitaalselt/“</w:t>
      </w:r>
      <w:r w:rsidRPr="00530750">
        <w:rPr>
          <w:sz w:val="24"/>
          <w:szCs w:val="24"/>
        </w:rPr>
        <w:t>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>Lisas 4 on lisatud punkt 1.2, kus on kirjeldatud, kuidas toimub toetust saavate spordiklubi liikmete arvu määramine lähtuvalt treeningute külastatavusest, st mida suurem on treeningu kü</w:t>
      </w:r>
      <w:r w:rsidRPr="00530750">
        <w:rPr>
          <w:sz w:val="24"/>
          <w:szCs w:val="24"/>
        </w:rPr>
        <w:t>lastatavuse protsent, seda suurem on spordiklubi toetus.</w:t>
      </w:r>
    </w:p>
    <w:p w:rsidR="008B7DA5" w:rsidRPr="00530750" w:rsidRDefault="00807F5E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530750">
        <w:rPr>
          <w:sz w:val="24"/>
          <w:szCs w:val="24"/>
        </w:rPr>
        <w:t xml:space="preserve">Lisas 5 § 2 täpsustatakse andeka sportlase alalist treenimiskohta, st sportlane treenib pidevalt Sillamäe spordiklubis, mitte ei esinda klubi ainult üksikutel võistlustel. </w:t>
      </w:r>
    </w:p>
    <w:p w:rsidR="008B7DA5" w:rsidRPr="00530750" w:rsidRDefault="008B7D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7DA5" w:rsidRPr="00530750" w:rsidRDefault="008B7DA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7DA5" w:rsidRPr="00530750" w:rsidRDefault="00807F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0750">
        <w:rPr>
          <w:rFonts w:ascii="Times New Roman" w:hAnsi="Times New Roman"/>
          <w:sz w:val="24"/>
          <w:szCs w:val="24"/>
        </w:rPr>
        <w:t>Katrin Tamme</w:t>
      </w:r>
    </w:p>
    <w:p w:rsidR="008B7DA5" w:rsidRPr="00530750" w:rsidRDefault="00807F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0750">
        <w:rPr>
          <w:rFonts w:ascii="Times New Roman" w:hAnsi="Times New Roman"/>
          <w:sz w:val="24"/>
          <w:szCs w:val="24"/>
        </w:rPr>
        <w:t>haridus- ja</w:t>
      </w:r>
      <w:r w:rsidRPr="00530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750">
        <w:rPr>
          <w:rFonts w:ascii="Times New Roman" w:hAnsi="Times New Roman"/>
          <w:sz w:val="24"/>
          <w:szCs w:val="24"/>
        </w:rPr>
        <w:t>kutluuriosakonna</w:t>
      </w:r>
      <w:proofErr w:type="spellEnd"/>
      <w:r w:rsidRPr="00530750">
        <w:rPr>
          <w:rFonts w:ascii="Times New Roman" w:hAnsi="Times New Roman"/>
          <w:sz w:val="24"/>
          <w:szCs w:val="24"/>
        </w:rPr>
        <w:t xml:space="preserve"> juhataja</w:t>
      </w:r>
    </w:p>
    <w:p w:rsidR="008B7DA5" w:rsidRPr="00530750" w:rsidRDefault="008B7D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7DA5" w:rsidRPr="00530750" w:rsidRDefault="008B7DA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B7DA5" w:rsidRPr="0053075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CD2"/>
    <w:multiLevelType w:val="multilevel"/>
    <w:tmpl w:val="EB72F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DA5E3C"/>
    <w:multiLevelType w:val="multilevel"/>
    <w:tmpl w:val="FD961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DA5"/>
    <w:rsid w:val="00530750"/>
    <w:rsid w:val="00807F5E"/>
    <w:rsid w:val="008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8F7B6-935B-4733-8815-384EFB3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08"/>
    <w:pPr>
      <w:suppressAutoHyphens/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txt1">
    <w:name w:val="deftxt1"/>
    <w:uiPriority w:val="99"/>
    <w:qFormat/>
    <w:rsid w:val="00BD1FAD"/>
    <w:rPr>
      <w:rFonts w:ascii="Verdana" w:hAnsi="Verdana"/>
      <w:color w:val="000000"/>
      <w:sz w:val="17"/>
      <w:u w:val="none"/>
      <w:effect w:val="non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sz w:val="24"/>
    </w:rPr>
  </w:style>
  <w:style w:type="character" w:customStyle="1" w:styleId="Nummerdussmbolid">
    <w:name w:val="Nummerdussümbolid"/>
    <w:qFormat/>
  </w:style>
  <w:style w:type="paragraph" w:customStyle="1" w:styleId="Pealkiri">
    <w:name w:val="Pealkiri"/>
    <w:basedOn w:val="a"/>
    <w:next w:val="Phi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hitekst">
    <w:name w:val="Põhitekst"/>
    <w:basedOn w:val="a"/>
    <w:pPr>
      <w:spacing w:after="140" w:line="288" w:lineRule="auto"/>
    </w:pPr>
  </w:style>
  <w:style w:type="paragraph" w:customStyle="1" w:styleId="Loend">
    <w:name w:val="Loend"/>
    <w:basedOn w:val="Phitekst"/>
    <w:rPr>
      <w:rFonts w:cs="Arial"/>
    </w:rPr>
  </w:style>
  <w:style w:type="paragraph" w:customStyle="1" w:styleId="Pealdis">
    <w:name w:val="Pealdis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a"/>
    <w:qFormat/>
    <w:pPr>
      <w:suppressLineNumbers/>
    </w:pPr>
    <w:rPr>
      <w:rFonts w:cs="Arial"/>
    </w:rPr>
  </w:style>
  <w:style w:type="paragraph" w:customStyle="1" w:styleId="1">
    <w:name w:val="Без интервала1"/>
    <w:uiPriority w:val="99"/>
    <w:qFormat/>
    <w:rsid w:val="0077520F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3">
    <w:name w:val="No Spacing"/>
    <w:uiPriority w:val="99"/>
    <w:qFormat/>
    <w:rsid w:val="00F842A8"/>
    <w:pPr>
      <w:suppressAutoHyphens/>
    </w:pPr>
    <w:rPr>
      <w:lang w:eastAsia="en-US"/>
    </w:rPr>
  </w:style>
  <w:style w:type="paragraph" w:customStyle="1" w:styleId="2">
    <w:name w:val="Без интервала2"/>
    <w:uiPriority w:val="99"/>
    <w:qFormat/>
    <w:rsid w:val="00BD1FAD"/>
    <w:pPr>
      <w:suppressAutoHyphens/>
      <w:textAlignment w:val="baseline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Seletuskiri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creator>Eevi Paasmae</dc:creator>
  <cp:lastModifiedBy>Deniss Ishkin</cp:lastModifiedBy>
  <cp:revision>10</cp:revision>
  <cp:lastPrinted>2016-11-08T14:17:00Z</cp:lastPrinted>
  <dcterms:created xsi:type="dcterms:W3CDTF">2016-10-11T13:23:00Z</dcterms:created>
  <dcterms:modified xsi:type="dcterms:W3CDTF">2016-11-15T06:45:00Z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